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A356" w14:textId="77777777" w:rsidR="00A7363D" w:rsidRPr="001221C2" w:rsidRDefault="00A7363D" w:rsidP="00B65B8E">
      <w:pPr>
        <w:widowControl/>
        <w:tabs>
          <w:tab w:val="left" w:pos="6480"/>
        </w:tabs>
        <w:suppressAutoHyphens/>
        <w:ind w:right="-29"/>
        <w:rPr>
          <w:bCs/>
          <w:caps/>
          <w:sz w:val="22"/>
          <w:szCs w:val="22"/>
          <w:lang w:val="fr-FR"/>
        </w:rPr>
      </w:pPr>
      <w:r w:rsidRPr="001221C2">
        <w:rPr>
          <w:caps/>
          <w:sz w:val="22"/>
          <w:szCs w:val="22"/>
          <w:lang w:val="fr-FR"/>
        </w:rPr>
        <w:t xml:space="preserve">CONVENTION INTERAMÉRICAINE SUR LA </w:t>
      </w:r>
      <w:r w:rsidRPr="001221C2">
        <w:rPr>
          <w:caps/>
          <w:sz w:val="22"/>
          <w:szCs w:val="22"/>
          <w:lang w:val="fr-FR"/>
        </w:rPr>
        <w:tab/>
        <w:t>OEA/S</w:t>
      </w:r>
      <w:r w:rsidRPr="001221C2">
        <w:rPr>
          <w:sz w:val="22"/>
          <w:szCs w:val="22"/>
          <w:lang w:val="fr-FR"/>
        </w:rPr>
        <w:t>er.K/XLIV.2</w:t>
      </w:r>
    </w:p>
    <w:p w14:paraId="0086E8D9" w14:textId="0D1955F7" w:rsidR="00A7363D" w:rsidRPr="001221C2" w:rsidRDefault="00A7363D" w:rsidP="00B65B8E">
      <w:pPr>
        <w:widowControl/>
        <w:tabs>
          <w:tab w:val="left" w:pos="6480"/>
        </w:tabs>
        <w:suppressAutoHyphens/>
        <w:ind w:right="-839"/>
        <w:rPr>
          <w:bCs/>
          <w:caps/>
          <w:sz w:val="22"/>
          <w:szCs w:val="22"/>
          <w:lang w:val="fr-FR"/>
        </w:rPr>
      </w:pPr>
      <w:r w:rsidRPr="001221C2">
        <w:rPr>
          <w:caps/>
          <w:sz w:val="22"/>
          <w:szCs w:val="22"/>
          <w:lang w:val="fr-FR"/>
        </w:rPr>
        <w:t>TRANSPARENCE DE L’ACQUISITION DES</w:t>
      </w:r>
      <w:r w:rsidRPr="001221C2">
        <w:rPr>
          <w:caps/>
          <w:sz w:val="22"/>
          <w:szCs w:val="22"/>
          <w:lang w:val="fr-FR"/>
        </w:rPr>
        <w:tab/>
        <w:t>CITAAC/CEP-ii/</w:t>
      </w:r>
      <w:r w:rsidRPr="001221C2">
        <w:rPr>
          <w:sz w:val="22"/>
          <w:szCs w:val="22"/>
          <w:lang w:val="fr-FR"/>
        </w:rPr>
        <w:t>doc.5/22</w:t>
      </w:r>
      <w:r w:rsidR="00F275B5" w:rsidRPr="001221C2">
        <w:rPr>
          <w:sz w:val="22"/>
          <w:szCs w:val="22"/>
          <w:lang w:val="fr-FR"/>
        </w:rPr>
        <w:t xml:space="preserve"> </w:t>
      </w:r>
      <w:r w:rsidR="00A77552" w:rsidRPr="001221C2">
        <w:rPr>
          <w:sz w:val="22"/>
          <w:szCs w:val="22"/>
          <w:lang w:val="fr-FR"/>
        </w:rPr>
        <w:t>r</w:t>
      </w:r>
      <w:r w:rsidR="00F275B5" w:rsidRPr="001221C2">
        <w:rPr>
          <w:sz w:val="22"/>
          <w:szCs w:val="22"/>
          <w:lang w:val="fr-FR"/>
        </w:rPr>
        <w:t>ev.</w:t>
      </w:r>
      <w:r w:rsidR="00A77552" w:rsidRPr="001221C2">
        <w:rPr>
          <w:sz w:val="22"/>
          <w:szCs w:val="22"/>
          <w:lang w:val="fr-FR"/>
        </w:rPr>
        <w:t xml:space="preserve"> 2</w:t>
      </w:r>
    </w:p>
    <w:p w14:paraId="529F6EB3" w14:textId="270623EB" w:rsidR="00A7363D" w:rsidRPr="001221C2" w:rsidRDefault="00A7363D" w:rsidP="00B65B8E">
      <w:pPr>
        <w:widowControl/>
        <w:tabs>
          <w:tab w:val="left" w:pos="6480"/>
        </w:tabs>
        <w:suppressAutoHyphens/>
        <w:ind w:right="-29"/>
        <w:rPr>
          <w:bCs/>
          <w:caps/>
          <w:sz w:val="22"/>
          <w:szCs w:val="22"/>
          <w:lang w:val="fr-FR"/>
        </w:rPr>
      </w:pPr>
      <w:r w:rsidRPr="001221C2">
        <w:rPr>
          <w:caps/>
          <w:sz w:val="22"/>
          <w:szCs w:val="22"/>
          <w:lang w:val="fr-FR"/>
        </w:rPr>
        <w:t>ARMES CLASSIQUES (CITAAC)</w:t>
      </w:r>
      <w:r w:rsidRPr="001221C2">
        <w:rPr>
          <w:caps/>
          <w:sz w:val="22"/>
          <w:szCs w:val="22"/>
          <w:lang w:val="fr-FR"/>
        </w:rPr>
        <w:tab/>
      </w:r>
      <w:r w:rsidR="00A77552" w:rsidRPr="001221C2">
        <w:rPr>
          <w:caps/>
          <w:sz w:val="22"/>
          <w:szCs w:val="22"/>
          <w:lang w:val="fr-FR"/>
        </w:rPr>
        <w:t>19</w:t>
      </w:r>
      <w:r w:rsidRPr="001221C2">
        <w:rPr>
          <w:caps/>
          <w:sz w:val="22"/>
          <w:szCs w:val="22"/>
          <w:lang w:val="fr-FR"/>
        </w:rPr>
        <w:t xml:space="preserve"> </w:t>
      </w:r>
      <w:r w:rsidR="00F275B5" w:rsidRPr="001221C2">
        <w:rPr>
          <w:sz w:val="22"/>
          <w:szCs w:val="22"/>
          <w:lang w:val="fr-FR"/>
        </w:rPr>
        <w:t>avril</w:t>
      </w:r>
      <w:r w:rsidRPr="001221C2">
        <w:rPr>
          <w:caps/>
          <w:sz w:val="22"/>
          <w:szCs w:val="22"/>
          <w:lang w:val="fr-FR"/>
        </w:rPr>
        <w:t xml:space="preserve"> 2022</w:t>
      </w:r>
    </w:p>
    <w:p w14:paraId="3C4E103A" w14:textId="0468E9E1" w:rsidR="00F275B5" w:rsidRPr="001221C2" w:rsidRDefault="00F275B5" w:rsidP="00B65B8E">
      <w:pPr>
        <w:widowControl/>
        <w:tabs>
          <w:tab w:val="left" w:pos="6480"/>
        </w:tabs>
        <w:rPr>
          <w:sz w:val="22"/>
          <w:szCs w:val="22"/>
          <w:u w:val="single"/>
          <w:lang w:val="fr-FR"/>
        </w:rPr>
      </w:pPr>
      <w:r w:rsidRPr="001221C2">
        <w:rPr>
          <w:sz w:val="22"/>
          <w:szCs w:val="22"/>
          <w:u w:val="single"/>
          <w:lang w:val="fr-FR"/>
        </w:rPr>
        <w:t>Deuxième Conférence des États parties</w:t>
      </w:r>
      <w:r w:rsidRPr="001221C2">
        <w:rPr>
          <w:sz w:val="22"/>
          <w:szCs w:val="22"/>
          <w:lang w:val="fr-FR"/>
        </w:rPr>
        <w:t xml:space="preserve"> </w:t>
      </w:r>
      <w:r w:rsidRPr="001221C2">
        <w:rPr>
          <w:sz w:val="22"/>
          <w:szCs w:val="22"/>
          <w:lang w:val="fr-FR"/>
        </w:rPr>
        <w:tab/>
        <w:t>Original: espagnol</w:t>
      </w:r>
    </w:p>
    <w:p w14:paraId="19D156A4" w14:textId="77777777" w:rsidR="00F275B5" w:rsidRPr="001221C2" w:rsidRDefault="00F275B5" w:rsidP="00F275B5">
      <w:pPr>
        <w:widowControl/>
        <w:tabs>
          <w:tab w:val="left" w:pos="6545"/>
        </w:tabs>
        <w:rPr>
          <w:sz w:val="22"/>
          <w:szCs w:val="22"/>
          <w:lang w:val="fr-FR"/>
        </w:rPr>
      </w:pPr>
      <w:r w:rsidRPr="001221C2">
        <w:rPr>
          <w:sz w:val="22"/>
          <w:szCs w:val="22"/>
          <w:lang w:val="fr-FR"/>
        </w:rPr>
        <w:t>19 avril 2022</w:t>
      </w:r>
    </w:p>
    <w:p w14:paraId="0EF595B1" w14:textId="77777777" w:rsidR="00F275B5" w:rsidRPr="001221C2" w:rsidRDefault="00F275B5" w:rsidP="00F275B5">
      <w:pPr>
        <w:widowControl/>
        <w:tabs>
          <w:tab w:val="left" w:pos="6545"/>
        </w:tabs>
        <w:rPr>
          <w:sz w:val="22"/>
          <w:szCs w:val="22"/>
          <w:lang w:val="fr-FR"/>
        </w:rPr>
      </w:pPr>
      <w:r w:rsidRPr="001221C2">
        <w:rPr>
          <w:sz w:val="22"/>
          <w:szCs w:val="22"/>
          <w:lang w:val="fr-FR"/>
        </w:rPr>
        <w:t>Format virtuel</w:t>
      </w:r>
    </w:p>
    <w:p w14:paraId="4966A6C3" w14:textId="532FFCA6" w:rsidR="00A7363D" w:rsidRPr="001221C2" w:rsidRDefault="00A7363D" w:rsidP="00A7363D">
      <w:pPr>
        <w:widowControl/>
        <w:tabs>
          <w:tab w:val="left" w:pos="6840"/>
        </w:tabs>
        <w:suppressAutoHyphens/>
        <w:ind w:right="-29"/>
        <w:rPr>
          <w:sz w:val="22"/>
          <w:szCs w:val="22"/>
          <w:u w:val="single"/>
          <w:lang w:val="fr-FR"/>
        </w:rPr>
      </w:pPr>
    </w:p>
    <w:p w14:paraId="28EF33B7" w14:textId="77777777" w:rsidR="00BD50CA" w:rsidRPr="001221C2" w:rsidRDefault="00BD50CA" w:rsidP="00BD50CA">
      <w:pPr>
        <w:rPr>
          <w:sz w:val="22"/>
          <w:szCs w:val="22"/>
          <w:lang w:val="fr-FR"/>
        </w:rPr>
      </w:pPr>
    </w:p>
    <w:p w14:paraId="7B9FBEC8" w14:textId="77777777" w:rsidR="00101D51" w:rsidRPr="001221C2" w:rsidRDefault="00101D51" w:rsidP="00101D51">
      <w:pPr>
        <w:rPr>
          <w:sz w:val="22"/>
          <w:szCs w:val="22"/>
          <w:lang w:val="fr-FR"/>
        </w:rPr>
      </w:pPr>
    </w:p>
    <w:p w14:paraId="3A66ED8D" w14:textId="77777777" w:rsidR="0047688C" w:rsidRPr="001221C2" w:rsidRDefault="0047688C" w:rsidP="00B65B8E">
      <w:pPr>
        <w:pStyle w:val="BodyText"/>
        <w:widowControl/>
        <w:jc w:val="both"/>
        <w:rPr>
          <w:b w:val="0"/>
          <w:bCs w:val="0"/>
          <w:sz w:val="22"/>
          <w:szCs w:val="22"/>
          <w:lang w:val="fr-FR"/>
        </w:rPr>
      </w:pPr>
    </w:p>
    <w:p w14:paraId="19B40D78" w14:textId="77777777" w:rsidR="0047688C" w:rsidRPr="001221C2" w:rsidRDefault="0047688C" w:rsidP="00B65B8E">
      <w:pPr>
        <w:pStyle w:val="BodyText"/>
        <w:widowControl/>
        <w:jc w:val="both"/>
        <w:rPr>
          <w:b w:val="0"/>
          <w:bCs w:val="0"/>
          <w:sz w:val="22"/>
          <w:szCs w:val="22"/>
          <w:lang w:val="fr-FR"/>
        </w:rPr>
      </w:pPr>
    </w:p>
    <w:p w14:paraId="2B7586DE" w14:textId="77777777" w:rsidR="0047688C" w:rsidRPr="001221C2" w:rsidRDefault="0047688C" w:rsidP="00B65B8E">
      <w:pPr>
        <w:pStyle w:val="BodyText"/>
        <w:widowControl/>
        <w:jc w:val="both"/>
        <w:rPr>
          <w:b w:val="0"/>
          <w:bCs w:val="0"/>
          <w:sz w:val="22"/>
          <w:szCs w:val="22"/>
          <w:lang w:val="fr-FR"/>
        </w:rPr>
      </w:pPr>
    </w:p>
    <w:p w14:paraId="56C3B70F" w14:textId="77777777" w:rsidR="0047688C" w:rsidRPr="001221C2" w:rsidRDefault="0047688C" w:rsidP="00B65B8E">
      <w:pPr>
        <w:pStyle w:val="BodyText"/>
        <w:widowControl/>
        <w:jc w:val="both"/>
        <w:rPr>
          <w:b w:val="0"/>
          <w:bCs w:val="0"/>
          <w:sz w:val="22"/>
          <w:szCs w:val="22"/>
          <w:lang w:val="fr-FR"/>
        </w:rPr>
      </w:pPr>
    </w:p>
    <w:p w14:paraId="2D528E12" w14:textId="77777777" w:rsidR="0047688C" w:rsidRPr="001221C2" w:rsidRDefault="0047688C" w:rsidP="00B65B8E">
      <w:pPr>
        <w:pStyle w:val="BodyText"/>
        <w:widowControl/>
        <w:jc w:val="both"/>
        <w:rPr>
          <w:b w:val="0"/>
          <w:bCs w:val="0"/>
          <w:sz w:val="22"/>
          <w:szCs w:val="22"/>
          <w:lang w:val="fr-FR"/>
        </w:rPr>
      </w:pPr>
    </w:p>
    <w:p w14:paraId="5321174A" w14:textId="77777777" w:rsidR="0047688C" w:rsidRPr="001221C2" w:rsidRDefault="0047688C" w:rsidP="00B65B8E">
      <w:pPr>
        <w:pStyle w:val="BodyText"/>
        <w:widowControl/>
        <w:jc w:val="both"/>
        <w:rPr>
          <w:b w:val="0"/>
          <w:bCs w:val="0"/>
          <w:sz w:val="22"/>
          <w:szCs w:val="22"/>
          <w:lang w:val="fr-FR"/>
        </w:rPr>
      </w:pPr>
    </w:p>
    <w:p w14:paraId="3787480D" w14:textId="77777777" w:rsidR="0047688C" w:rsidRPr="001221C2" w:rsidRDefault="0047688C" w:rsidP="00B65B8E">
      <w:pPr>
        <w:pStyle w:val="BodyText"/>
        <w:widowControl/>
        <w:jc w:val="both"/>
        <w:rPr>
          <w:b w:val="0"/>
          <w:bCs w:val="0"/>
          <w:sz w:val="22"/>
          <w:szCs w:val="22"/>
          <w:lang w:val="fr-FR"/>
        </w:rPr>
      </w:pPr>
    </w:p>
    <w:p w14:paraId="5BE3F037" w14:textId="77777777" w:rsidR="0047688C" w:rsidRPr="001221C2" w:rsidRDefault="0047688C" w:rsidP="00B65B8E">
      <w:pPr>
        <w:pStyle w:val="BodyText"/>
        <w:widowControl/>
        <w:jc w:val="both"/>
        <w:rPr>
          <w:b w:val="0"/>
          <w:bCs w:val="0"/>
          <w:sz w:val="22"/>
          <w:szCs w:val="22"/>
          <w:lang w:val="fr-FR"/>
        </w:rPr>
      </w:pPr>
    </w:p>
    <w:p w14:paraId="5283517C" w14:textId="77777777" w:rsidR="00877089" w:rsidRPr="001221C2" w:rsidRDefault="00877089" w:rsidP="00B65B8E">
      <w:pPr>
        <w:pStyle w:val="BodyText"/>
        <w:widowControl/>
        <w:jc w:val="both"/>
        <w:rPr>
          <w:b w:val="0"/>
          <w:bCs w:val="0"/>
          <w:sz w:val="22"/>
          <w:szCs w:val="22"/>
          <w:lang w:val="fr-FR"/>
        </w:rPr>
      </w:pPr>
    </w:p>
    <w:p w14:paraId="12D9E448" w14:textId="77777777" w:rsidR="00877089" w:rsidRPr="001221C2" w:rsidRDefault="00877089" w:rsidP="00B65B8E">
      <w:pPr>
        <w:pStyle w:val="BodyText"/>
        <w:widowControl/>
        <w:jc w:val="both"/>
        <w:rPr>
          <w:b w:val="0"/>
          <w:bCs w:val="0"/>
          <w:sz w:val="22"/>
          <w:szCs w:val="22"/>
          <w:lang w:val="fr-FR"/>
        </w:rPr>
      </w:pPr>
    </w:p>
    <w:p w14:paraId="4C1756A7" w14:textId="77777777" w:rsidR="0047688C" w:rsidRPr="001221C2" w:rsidRDefault="0047688C" w:rsidP="00B65B8E">
      <w:pPr>
        <w:pStyle w:val="BodyText"/>
        <w:widowControl/>
        <w:jc w:val="both"/>
        <w:rPr>
          <w:b w:val="0"/>
          <w:bCs w:val="0"/>
          <w:sz w:val="22"/>
          <w:szCs w:val="22"/>
          <w:lang w:val="fr-FR"/>
        </w:rPr>
      </w:pPr>
    </w:p>
    <w:p w14:paraId="36641CDC" w14:textId="77777777" w:rsidR="0047688C" w:rsidRPr="001221C2" w:rsidRDefault="0047688C" w:rsidP="00B65B8E">
      <w:pPr>
        <w:pStyle w:val="BodyText"/>
        <w:widowControl/>
        <w:jc w:val="both"/>
        <w:rPr>
          <w:b w:val="0"/>
          <w:bCs w:val="0"/>
          <w:sz w:val="22"/>
          <w:szCs w:val="22"/>
          <w:lang w:val="fr-FR"/>
        </w:rPr>
      </w:pPr>
    </w:p>
    <w:p w14:paraId="7052F3BE" w14:textId="112A7B38" w:rsidR="0077774B" w:rsidRPr="001221C2" w:rsidRDefault="0077774B" w:rsidP="00A77552">
      <w:pPr>
        <w:pStyle w:val="BodyText"/>
        <w:widowControl/>
        <w:rPr>
          <w:b w:val="0"/>
          <w:sz w:val="22"/>
          <w:szCs w:val="22"/>
          <w:lang w:val="fr-FR"/>
        </w:rPr>
      </w:pPr>
      <w:r w:rsidRPr="001221C2">
        <w:rPr>
          <w:b w:val="0"/>
          <w:sz w:val="22"/>
          <w:szCs w:val="22"/>
          <w:lang w:val="fr-FR"/>
        </w:rPr>
        <w:t>RÈGLEMENT</w:t>
      </w:r>
      <w:r w:rsidR="00A77552" w:rsidRPr="001221C2">
        <w:rPr>
          <w:b w:val="0"/>
          <w:sz w:val="22"/>
          <w:szCs w:val="22"/>
          <w:lang w:val="fr-FR"/>
        </w:rPr>
        <w:t xml:space="preserve"> </w:t>
      </w:r>
      <w:r w:rsidRPr="001221C2">
        <w:rPr>
          <w:b w:val="0"/>
          <w:sz w:val="22"/>
          <w:szCs w:val="22"/>
          <w:lang w:val="fr-FR"/>
        </w:rPr>
        <w:t>DE LA CONFÉRENCE DES ÉTATS PARTIES À LA</w:t>
      </w:r>
      <w:r w:rsidR="00A77552" w:rsidRPr="001221C2">
        <w:rPr>
          <w:b w:val="0"/>
          <w:sz w:val="22"/>
          <w:szCs w:val="22"/>
          <w:lang w:val="fr-FR"/>
        </w:rPr>
        <w:br/>
      </w:r>
      <w:r w:rsidRPr="001221C2">
        <w:rPr>
          <w:b w:val="0"/>
          <w:sz w:val="22"/>
          <w:szCs w:val="22"/>
          <w:lang w:val="fr-FR"/>
        </w:rPr>
        <w:t xml:space="preserve">CONVENTION INTERAMÉRICAINE SUR LA TRANSPARENCE DE </w:t>
      </w:r>
      <w:r w:rsidR="001221C2">
        <w:rPr>
          <w:b w:val="0"/>
          <w:sz w:val="22"/>
          <w:szCs w:val="22"/>
          <w:lang w:val="fr-FR"/>
        </w:rPr>
        <w:br/>
      </w:r>
      <w:r w:rsidRPr="001221C2">
        <w:rPr>
          <w:b w:val="0"/>
          <w:sz w:val="22"/>
          <w:szCs w:val="22"/>
          <w:lang w:val="fr-FR"/>
        </w:rPr>
        <w:t>L’ACQUISITION DES ARMES CLASSIQUES (CITAAC)</w:t>
      </w:r>
    </w:p>
    <w:p w14:paraId="052ACFC9" w14:textId="77777777" w:rsidR="00CB0306" w:rsidRPr="001221C2" w:rsidRDefault="00CB0306" w:rsidP="002E5CB7">
      <w:pPr>
        <w:widowControl/>
        <w:shd w:val="clear" w:color="auto" w:fill="FFFFFF"/>
        <w:jc w:val="center"/>
        <w:rPr>
          <w:sz w:val="22"/>
          <w:szCs w:val="22"/>
          <w:lang w:val="fr-FR"/>
        </w:rPr>
      </w:pPr>
    </w:p>
    <w:p w14:paraId="599CE7EB" w14:textId="77777777" w:rsidR="00A77552" w:rsidRPr="001221C2" w:rsidRDefault="00A77552" w:rsidP="001221C2">
      <w:pPr>
        <w:widowControl/>
        <w:jc w:val="center"/>
        <w:rPr>
          <w:sz w:val="22"/>
          <w:szCs w:val="22"/>
          <w:lang w:val="fr-FR"/>
        </w:rPr>
      </w:pPr>
      <w:r w:rsidRPr="001221C2">
        <w:rPr>
          <w:sz w:val="22"/>
          <w:szCs w:val="22"/>
          <w:lang w:val="fr-FR"/>
        </w:rPr>
        <w:t>(Approuvé à la Deuxième Conférence des États parties à la CITAAC, le 19 avril 2022)</w:t>
      </w:r>
    </w:p>
    <w:p w14:paraId="52CB0FF5" w14:textId="77777777" w:rsidR="00B65B8E" w:rsidRPr="001221C2" w:rsidRDefault="00B65B8E">
      <w:pPr>
        <w:widowControl/>
        <w:autoSpaceDE/>
        <w:autoSpaceDN/>
        <w:adjustRightInd/>
        <w:rPr>
          <w:b/>
          <w:sz w:val="22"/>
          <w:szCs w:val="22"/>
          <w:lang w:val="fr-FR"/>
        </w:rPr>
        <w:sectPr w:rsidR="00B65B8E" w:rsidRPr="001221C2" w:rsidSect="005B6681">
          <w:headerReference w:type="default" r:id="rId11"/>
          <w:footerReference w:type="default" r:id="rId12"/>
          <w:headerReference w:type="first" r:id="rId13"/>
          <w:footerReference w:type="first" r:id="rId14"/>
          <w:pgSz w:w="12240" w:h="15840" w:code="1"/>
          <w:pgMar w:top="2160" w:right="1570" w:bottom="1296" w:left="1699" w:header="1296" w:footer="720" w:gutter="0"/>
          <w:pgNumType w:start="2"/>
          <w:cols w:space="720"/>
          <w:docGrid w:linePitch="326"/>
        </w:sectPr>
      </w:pPr>
    </w:p>
    <w:p w14:paraId="28867B6A" w14:textId="53001351" w:rsidR="00A77552" w:rsidRPr="001221C2" w:rsidRDefault="00A77552" w:rsidP="00A77552">
      <w:pPr>
        <w:pStyle w:val="BodyText"/>
        <w:widowControl/>
        <w:rPr>
          <w:b w:val="0"/>
          <w:sz w:val="22"/>
          <w:szCs w:val="22"/>
          <w:lang w:val="fr-FR"/>
        </w:rPr>
      </w:pPr>
      <w:r w:rsidRPr="001221C2">
        <w:rPr>
          <w:b w:val="0"/>
          <w:sz w:val="22"/>
          <w:szCs w:val="22"/>
          <w:lang w:val="fr-FR"/>
        </w:rPr>
        <w:lastRenderedPageBreak/>
        <w:t>RÈGLEMENT DE LA CONFÉRENCE DES ÉTATS PARTIES À LA</w:t>
      </w:r>
      <w:r w:rsidRPr="001221C2">
        <w:rPr>
          <w:b w:val="0"/>
          <w:sz w:val="22"/>
          <w:szCs w:val="22"/>
          <w:lang w:val="fr-FR"/>
        </w:rPr>
        <w:br/>
        <w:t xml:space="preserve">CONVENTION INTERAMÉRICAINE SUR LA TRANSPARENCE DE </w:t>
      </w:r>
      <w:r w:rsidR="001221C2">
        <w:rPr>
          <w:b w:val="0"/>
          <w:sz w:val="22"/>
          <w:szCs w:val="22"/>
          <w:lang w:val="fr-FR"/>
        </w:rPr>
        <w:br/>
      </w:r>
      <w:r w:rsidRPr="001221C2">
        <w:rPr>
          <w:b w:val="0"/>
          <w:sz w:val="22"/>
          <w:szCs w:val="22"/>
          <w:lang w:val="fr-FR"/>
        </w:rPr>
        <w:t>L’ACQUISITION DES ARMES CLASSIQUES (CITAAC)</w:t>
      </w:r>
    </w:p>
    <w:p w14:paraId="45720C96" w14:textId="77777777" w:rsidR="0047688C" w:rsidRPr="001221C2" w:rsidRDefault="0047688C" w:rsidP="00B65B8E">
      <w:pPr>
        <w:pStyle w:val="Heading1"/>
        <w:widowControl/>
        <w:jc w:val="both"/>
        <w:rPr>
          <w:b w:val="0"/>
          <w:bCs w:val="0"/>
          <w:sz w:val="22"/>
          <w:szCs w:val="22"/>
          <w:lang w:val="fr-FR"/>
        </w:rPr>
      </w:pPr>
    </w:p>
    <w:p w14:paraId="4359B667" w14:textId="77777777" w:rsidR="0047688C" w:rsidRPr="001221C2" w:rsidRDefault="0047688C">
      <w:pPr>
        <w:widowControl/>
        <w:rPr>
          <w:sz w:val="22"/>
          <w:szCs w:val="22"/>
          <w:lang w:val="fr-FR"/>
        </w:rPr>
      </w:pPr>
    </w:p>
    <w:p w14:paraId="7943B750" w14:textId="77777777" w:rsidR="0077774B" w:rsidRPr="001221C2" w:rsidRDefault="0077774B" w:rsidP="0077774B">
      <w:pPr>
        <w:pStyle w:val="BodyTextIndent"/>
        <w:widowControl/>
        <w:jc w:val="center"/>
        <w:rPr>
          <w:sz w:val="22"/>
          <w:szCs w:val="22"/>
          <w:lang w:val="fr-FR"/>
        </w:rPr>
      </w:pPr>
      <w:r w:rsidRPr="001221C2">
        <w:rPr>
          <w:sz w:val="22"/>
          <w:szCs w:val="22"/>
          <w:lang w:val="fr-FR"/>
        </w:rPr>
        <w:t>CHAPITRE I</w:t>
      </w:r>
    </w:p>
    <w:p w14:paraId="35DC7784" w14:textId="77777777" w:rsidR="0077774B" w:rsidRPr="001221C2" w:rsidRDefault="0077774B" w:rsidP="0077774B">
      <w:pPr>
        <w:pStyle w:val="BodyTextIndent"/>
        <w:widowControl/>
        <w:jc w:val="center"/>
        <w:rPr>
          <w:sz w:val="22"/>
          <w:szCs w:val="22"/>
          <w:lang w:val="fr-FR"/>
        </w:rPr>
      </w:pPr>
      <w:r w:rsidRPr="001221C2">
        <w:rPr>
          <w:sz w:val="22"/>
          <w:szCs w:val="22"/>
          <w:lang w:val="fr-FR"/>
        </w:rPr>
        <w:t>NATURE DE LA CONFÉRENCE ET OBJECTIF</w:t>
      </w:r>
    </w:p>
    <w:p w14:paraId="65E1DBBE" w14:textId="77777777" w:rsidR="0077774B" w:rsidRPr="001221C2" w:rsidRDefault="0077774B" w:rsidP="0077774B">
      <w:pPr>
        <w:jc w:val="both"/>
        <w:rPr>
          <w:sz w:val="22"/>
          <w:szCs w:val="22"/>
          <w:lang w:val="fr-FR"/>
        </w:rPr>
      </w:pPr>
    </w:p>
    <w:p w14:paraId="24B7EB3B" w14:textId="77777777" w:rsidR="0077774B" w:rsidRPr="001221C2" w:rsidRDefault="0077774B" w:rsidP="0077774B">
      <w:pPr>
        <w:pStyle w:val="BodyTextIndent"/>
        <w:widowControl/>
        <w:rPr>
          <w:sz w:val="22"/>
          <w:szCs w:val="22"/>
          <w:lang w:val="fr-FR"/>
        </w:rPr>
      </w:pPr>
      <w:r w:rsidRPr="001221C2">
        <w:rPr>
          <w:b/>
          <w:sz w:val="22"/>
          <w:szCs w:val="22"/>
          <w:lang w:val="fr-FR"/>
        </w:rPr>
        <w:t>Article Premier</w:t>
      </w:r>
    </w:p>
    <w:p w14:paraId="3EC7FCCB" w14:textId="77777777" w:rsidR="0077774B" w:rsidRPr="001221C2" w:rsidRDefault="0077774B" w:rsidP="0077774B">
      <w:pPr>
        <w:pStyle w:val="BodyTextIndent"/>
        <w:widowControl/>
        <w:rPr>
          <w:sz w:val="22"/>
          <w:szCs w:val="22"/>
          <w:lang w:val="fr-FR"/>
        </w:rPr>
      </w:pPr>
    </w:p>
    <w:p w14:paraId="1939C0BB" w14:textId="77777777" w:rsidR="0077774B" w:rsidRPr="001221C2" w:rsidRDefault="0077774B" w:rsidP="00B65B8E">
      <w:pPr>
        <w:pStyle w:val="BodyTextIndent"/>
        <w:widowControl/>
        <w:ind w:firstLine="720"/>
        <w:rPr>
          <w:sz w:val="22"/>
          <w:szCs w:val="22"/>
          <w:lang w:val="fr-FR"/>
        </w:rPr>
      </w:pPr>
      <w:r w:rsidRPr="001221C2">
        <w:rPr>
          <w:sz w:val="22"/>
          <w:szCs w:val="22"/>
          <w:lang w:val="fr-FR"/>
        </w:rPr>
        <w:t>La Conférence des États parties (ci-après « la Conférence ») est une réunion des États parties à la Convention interaméricaine sur la transparence de l’acquisition des armes classiques (ci-après « la Convention ») prévue à l’article VIII de la Convention, qui peut être convoquée à divers moments selon les circonstances énoncées aux termes de la Convention même.</w:t>
      </w:r>
    </w:p>
    <w:p w14:paraId="57A37643" w14:textId="77777777" w:rsidR="0077774B" w:rsidRPr="001221C2" w:rsidRDefault="0077774B" w:rsidP="0077774B">
      <w:pPr>
        <w:pStyle w:val="BodyTextIndent"/>
        <w:widowControl/>
        <w:rPr>
          <w:sz w:val="22"/>
          <w:szCs w:val="22"/>
          <w:lang w:val="fr-FR"/>
        </w:rPr>
      </w:pPr>
    </w:p>
    <w:p w14:paraId="34FCC840" w14:textId="77777777" w:rsidR="0077774B" w:rsidRPr="001221C2" w:rsidRDefault="0077774B" w:rsidP="0077774B">
      <w:pPr>
        <w:pStyle w:val="BodyTextIndent"/>
        <w:widowControl/>
        <w:rPr>
          <w:b/>
          <w:bCs/>
          <w:sz w:val="22"/>
          <w:szCs w:val="22"/>
          <w:lang w:val="fr-FR"/>
        </w:rPr>
      </w:pPr>
      <w:r w:rsidRPr="001221C2">
        <w:rPr>
          <w:b/>
          <w:sz w:val="22"/>
          <w:szCs w:val="22"/>
          <w:lang w:val="fr-FR"/>
        </w:rPr>
        <w:t>Article 2</w:t>
      </w:r>
    </w:p>
    <w:p w14:paraId="609B05E8" w14:textId="77777777" w:rsidR="0077774B" w:rsidRPr="001221C2" w:rsidRDefault="0077774B" w:rsidP="0077774B">
      <w:pPr>
        <w:pStyle w:val="BodyTextIndent"/>
        <w:widowControl/>
        <w:rPr>
          <w:sz w:val="22"/>
          <w:szCs w:val="22"/>
          <w:lang w:val="fr-FR"/>
        </w:rPr>
      </w:pPr>
    </w:p>
    <w:p w14:paraId="363E7A23" w14:textId="77777777" w:rsidR="0077774B" w:rsidRPr="001221C2" w:rsidRDefault="0077774B" w:rsidP="00B65B8E">
      <w:pPr>
        <w:pStyle w:val="BodyTextIndent"/>
        <w:widowControl/>
        <w:ind w:firstLine="720"/>
        <w:rPr>
          <w:sz w:val="22"/>
          <w:szCs w:val="22"/>
          <w:lang w:val="fr-FR"/>
        </w:rPr>
      </w:pPr>
      <w:r w:rsidRPr="001221C2">
        <w:rPr>
          <w:sz w:val="22"/>
          <w:szCs w:val="22"/>
          <w:lang w:val="fr-FR"/>
        </w:rPr>
        <w:t>L'objectif de la Conférence est, comme le prévoit l'article VIII de la Convention, d'examiner le fonctionnement et la mise en œuvre de la Convention et d'envisager de nouvelles mesures de transparence conformes à l'objectif de la Convention.</w:t>
      </w:r>
    </w:p>
    <w:p w14:paraId="15E056ED" w14:textId="77777777" w:rsidR="0077774B" w:rsidRPr="001221C2" w:rsidRDefault="0077774B" w:rsidP="0077774B">
      <w:pPr>
        <w:pStyle w:val="BodyTextIndent"/>
        <w:widowControl/>
        <w:rPr>
          <w:sz w:val="22"/>
          <w:szCs w:val="22"/>
          <w:lang w:val="fr-FR"/>
        </w:rPr>
      </w:pPr>
    </w:p>
    <w:p w14:paraId="5A737D24" w14:textId="77777777" w:rsidR="0077774B" w:rsidRPr="001221C2" w:rsidRDefault="0077774B" w:rsidP="00D01525">
      <w:pPr>
        <w:pStyle w:val="BodyTextIndent"/>
        <w:widowControl/>
        <w:rPr>
          <w:sz w:val="22"/>
          <w:szCs w:val="22"/>
          <w:lang w:val="fr-FR"/>
        </w:rPr>
      </w:pPr>
    </w:p>
    <w:p w14:paraId="1B94AD04" w14:textId="77777777" w:rsidR="0077774B" w:rsidRPr="001221C2" w:rsidRDefault="0077774B" w:rsidP="0077774B">
      <w:pPr>
        <w:pStyle w:val="BodyTextIndent"/>
        <w:widowControl/>
        <w:jc w:val="center"/>
        <w:rPr>
          <w:sz w:val="22"/>
          <w:szCs w:val="22"/>
          <w:lang w:val="fr-FR"/>
        </w:rPr>
      </w:pPr>
      <w:r w:rsidRPr="001221C2">
        <w:rPr>
          <w:sz w:val="22"/>
          <w:szCs w:val="22"/>
          <w:lang w:val="fr-FR"/>
        </w:rPr>
        <w:t>CHAPITRE II</w:t>
      </w:r>
    </w:p>
    <w:p w14:paraId="31BE2B40" w14:textId="77777777" w:rsidR="0077774B" w:rsidRPr="001221C2" w:rsidRDefault="0077774B" w:rsidP="0077774B">
      <w:pPr>
        <w:pStyle w:val="BodyTextIndent"/>
        <w:widowControl/>
        <w:jc w:val="center"/>
        <w:rPr>
          <w:sz w:val="22"/>
          <w:szCs w:val="22"/>
          <w:lang w:val="fr-FR"/>
        </w:rPr>
      </w:pPr>
      <w:r w:rsidRPr="001221C2">
        <w:rPr>
          <w:sz w:val="22"/>
          <w:szCs w:val="22"/>
          <w:lang w:val="fr-FR"/>
        </w:rPr>
        <w:t>ATTRIBUTIONS</w:t>
      </w:r>
    </w:p>
    <w:p w14:paraId="678E03F3" w14:textId="77777777" w:rsidR="0077774B" w:rsidRPr="001221C2" w:rsidRDefault="0077774B" w:rsidP="00D01525">
      <w:pPr>
        <w:pStyle w:val="BodyTextIndent"/>
        <w:widowControl/>
        <w:rPr>
          <w:sz w:val="22"/>
          <w:szCs w:val="22"/>
          <w:lang w:val="fr-FR"/>
        </w:rPr>
      </w:pPr>
    </w:p>
    <w:p w14:paraId="4E3A68FA" w14:textId="77777777" w:rsidR="0077774B" w:rsidRPr="001221C2" w:rsidRDefault="0077774B" w:rsidP="0077774B">
      <w:pPr>
        <w:pStyle w:val="BodyTextIndent"/>
        <w:widowControl/>
        <w:rPr>
          <w:b/>
          <w:bCs/>
          <w:sz w:val="22"/>
          <w:szCs w:val="22"/>
          <w:lang w:val="fr-FR"/>
        </w:rPr>
      </w:pPr>
      <w:r w:rsidRPr="001221C2">
        <w:rPr>
          <w:b/>
          <w:sz w:val="22"/>
          <w:szCs w:val="22"/>
          <w:lang w:val="fr-FR"/>
        </w:rPr>
        <w:t>Article 3</w:t>
      </w:r>
    </w:p>
    <w:p w14:paraId="31DA27A5" w14:textId="77777777" w:rsidR="0077774B" w:rsidRPr="001221C2" w:rsidRDefault="0077774B" w:rsidP="0077774B">
      <w:pPr>
        <w:pStyle w:val="BodyTextIndent"/>
        <w:widowControl/>
        <w:rPr>
          <w:sz w:val="22"/>
          <w:szCs w:val="22"/>
          <w:lang w:val="fr-FR"/>
        </w:rPr>
      </w:pPr>
    </w:p>
    <w:p w14:paraId="192FC334" w14:textId="77777777" w:rsidR="0077774B" w:rsidRPr="001221C2" w:rsidRDefault="0077774B" w:rsidP="00B65B8E">
      <w:pPr>
        <w:pStyle w:val="BodyTextIndent"/>
        <w:widowControl/>
        <w:ind w:firstLine="720"/>
        <w:rPr>
          <w:sz w:val="22"/>
          <w:szCs w:val="22"/>
          <w:lang w:val="fr-FR"/>
        </w:rPr>
      </w:pPr>
      <w:r w:rsidRPr="001221C2">
        <w:rPr>
          <w:sz w:val="22"/>
          <w:szCs w:val="22"/>
          <w:lang w:val="fr-FR"/>
        </w:rPr>
        <w:t>Afin d’atteindre son objectif, la Conférence a les attributions suivantes :</w:t>
      </w:r>
    </w:p>
    <w:p w14:paraId="586068B2" w14:textId="77777777" w:rsidR="0077774B" w:rsidRPr="001221C2" w:rsidRDefault="0077774B" w:rsidP="0077774B">
      <w:pPr>
        <w:pStyle w:val="BodyTextIndent"/>
        <w:widowControl/>
        <w:rPr>
          <w:sz w:val="22"/>
          <w:szCs w:val="22"/>
          <w:lang w:val="fr-FR"/>
        </w:rPr>
      </w:pPr>
    </w:p>
    <w:p w14:paraId="059D6775" w14:textId="77777777" w:rsidR="0077774B" w:rsidRPr="001221C2" w:rsidRDefault="0077774B" w:rsidP="0077774B">
      <w:pPr>
        <w:pStyle w:val="BodyTextIndent"/>
        <w:widowControl/>
        <w:numPr>
          <w:ilvl w:val="0"/>
          <w:numId w:val="18"/>
        </w:numPr>
        <w:ind w:left="1440" w:hanging="720"/>
        <w:rPr>
          <w:sz w:val="22"/>
          <w:szCs w:val="22"/>
          <w:lang w:val="fr-FR"/>
        </w:rPr>
      </w:pPr>
      <w:r w:rsidRPr="001221C2">
        <w:rPr>
          <w:sz w:val="22"/>
          <w:szCs w:val="22"/>
          <w:lang w:val="fr-FR"/>
        </w:rPr>
        <w:t>Adopter les décisions qu’elle juge nécessaires pour fournir des orientations aux États parties et au Comité consultatif concernant le fonctionnement et la mise en œuvre de la Convention, notamment en ce qui concerne l'accomplissement des obligations énoncées aux articles III et IV ;</w:t>
      </w:r>
    </w:p>
    <w:p w14:paraId="0296B179" w14:textId="77777777" w:rsidR="0077774B" w:rsidRPr="001221C2" w:rsidRDefault="0077774B" w:rsidP="0077774B">
      <w:pPr>
        <w:pStyle w:val="BodyTextIndent"/>
        <w:widowControl/>
        <w:rPr>
          <w:sz w:val="22"/>
          <w:szCs w:val="22"/>
          <w:lang w:val="fr-FR"/>
        </w:rPr>
      </w:pPr>
    </w:p>
    <w:p w14:paraId="6A232ABF" w14:textId="77777777" w:rsidR="0077774B" w:rsidRPr="001221C2" w:rsidRDefault="0077774B" w:rsidP="0077774B">
      <w:pPr>
        <w:pStyle w:val="BodyTextIndent"/>
        <w:widowControl/>
        <w:numPr>
          <w:ilvl w:val="0"/>
          <w:numId w:val="19"/>
        </w:numPr>
        <w:ind w:left="1440" w:hanging="720"/>
        <w:rPr>
          <w:sz w:val="22"/>
          <w:szCs w:val="22"/>
          <w:lang w:val="fr-FR"/>
        </w:rPr>
      </w:pPr>
      <w:r w:rsidRPr="001221C2">
        <w:rPr>
          <w:sz w:val="22"/>
          <w:szCs w:val="22"/>
          <w:lang w:val="fr-FR"/>
        </w:rPr>
        <w:t>Établir les priorités et les objectifs qui permettent de parvenir à la mise en œuvre effective de la Convention ;</w:t>
      </w:r>
    </w:p>
    <w:p w14:paraId="622BDFA4" w14:textId="77777777" w:rsidR="0077774B" w:rsidRPr="001221C2" w:rsidRDefault="0077774B" w:rsidP="0077774B">
      <w:pPr>
        <w:pStyle w:val="BodyTextIndent"/>
        <w:widowControl/>
        <w:rPr>
          <w:sz w:val="22"/>
          <w:szCs w:val="22"/>
          <w:lang w:val="fr-FR"/>
        </w:rPr>
      </w:pPr>
    </w:p>
    <w:p w14:paraId="482F89E5" w14:textId="77777777" w:rsidR="0077774B" w:rsidRPr="001221C2" w:rsidRDefault="0077774B" w:rsidP="0077774B">
      <w:pPr>
        <w:pStyle w:val="BodyTextIndent"/>
        <w:widowControl/>
        <w:numPr>
          <w:ilvl w:val="0"/>
          <w:numId w:val="20"/>
        </w:numPr>
        <w:ind w:left="1440" w:hanging="720"/>
        <w:rPr>
          <w:sz w:val="22"/>
          <w:szCs w:val="22"/>
          <w:lang w:val="fr-FR"/>
        </w:rPr>
      </w:pPr>
      <w:r w:rsidRPr="001221C2">
        <w:rPr>
          <w:sz w:val="22"/>
          <w:szCs w:val="22"/>
          <w:lang w:val="fr-FR"/>
        </w:rPr>
        <w:t>Charger le Comité consultatif d’adopter et de mettre au point des mesures qui facilitent le bon fonctionnement et la mise en œuvre de la Convention ;</w:t>
      </w:r>
    </w:p>
    <w:p w14:paraId="62C9DE92" w14:textId="77777777" w:rsidR="0077774B" w:rsidRPr="001221C2" w:rsidRDefault="0077774B" w:rsidP="0077774B">
      <w:pPr>
        <w:pStyle w:val="BodyTextIndent"/>
        <w:widowControl/>
        <w:rPr>
          <w:sz w:val="22"/>
          <w:szCs w:val="22"/>
          <w:lang w:val="fr-FR"/>
        </w:rPr>
      </w:pPr>
    </w:p>
    <w:p w14:paraId="756C72B5" w14:textId="754FDBBC" w:rsidR="0077774B" w:rsidRPr="001221C2" w:rsidRDefault="00A77552" w:rsidP="0077774B">
      <w:pPr>
        <w:pStyle w:val="BodyTextIndent"/>
        <w:widowControl/>
        <w:numPr>
          <w:ilvl w:val="0"/>
          <w:numId w:val="21"/>
        </w:numPr>
        <w:ind w:left="1440" w:hanging="720"/>
        <w:rPr>
          <w:sz w:val="22"/>
          <w:szCs w:val="22"/>
          <w:lang w:val="fr-FR"/>
        </w:rPr>
      </w:pPr>
      <w:r w:rsidRPr="001221C2">
        <w:rPr>
          <w:sz w:val="22"/>
          <w:szCs w:val="22"/>
          <w:lang w:val="fr-FR"/>
        </w:rPr>
        <w:t>Examiner</w:t>
      </w:r>
      <w:r w:rsidR="0077774B" w:rsidRPr="001221C2">
        <w:rPr>
          <w:sz w:val="22"/>
          <w:szCs w:val="22"/>
          <w:lang w:val="fr-FR"/>
        </w:rPr>
        <w:t xml:space="preserve"> les résultats des mesures prises par le Comité consultatif pour faciliter le fonctionnement et la mise en œuvre de la Convention ;</w:t>
      </w:r>
    </w:p>
    <w:p w14:paraId="5C798AA1" w14:textId="77777777" w:rsidR="0077774B" w:rsidRPr="001221C2" w:rsidRDefault="0077774B" w:rsidP="0077774B">
      <w:pPr>
        <w:pStyle w:val="BodyTextIndent"/>
        <w:widowControl/>
        <w:rPr>
          <w:sz w:val="22"/>
          <w:szCs w:val="22"/>
          <w:lang w:val="fr-FR"/>
        </w:rPr>
      </w:pPr>
    </w:p>
    <w:p w14:paraId="3DC82C83" w14:textId="77777777" w:rsidR="0077774B" w:rsidRPr="001221C2" w:rsidRDefault="0077774B" w:rsidP="0077774B">
      <w:pPr>
        <w:pStyle w:val="BodyTextIndent"/>
        <w:widowControl/>
        <w:numPr>
          <w:ilvl w:val="0"/>
          <w:numId w:val="21"/>
        </w:numPr>
        <w:ind w:left="1440" w:hanging="720"/>
        <w:rPr>
          <w:sz w:val="22"/>
          <w:szCs w:val="22"/>
          <w:lang w:val="fr-FR"/>
        </w:rPr>
      </w:pPr>
      <w:r w:rsidRPr="001221C2">
        <w:rPr>
          <w:sz w:val="22"/>
          <w:szCs w:val="22"/>
          <w:lang w:val="fr-FR"/>
        </w:rPr>
        <w:t>Demander des rapports au Secrétariat technique et au Comité consultatif, lorsqu’elle le juge nécessaire, pour examiner le fonctionnement et le degré de mise en œuvre de la Convention, ainsi que pour organiser des études ou des travaux analytiques susceptibles de contribuer à identifier les points forts et les faiblesses de sa mise en œuvre ;</w:t>
      </w:r>
    </w:p>
    <w:p w14:paraId="43607841" w14:textId="77777777" w:rsidR="0077774B" w:rsidRPr="001221C2" w:rsidRDefault="0077774B" w:rsidP="0077774B">
      <w:pPr>
        <w:pStyle w:val="BodyTextIndent"/>
        <w:widowControl/>
        <w:rPr>
          <w:sz w:val="22"/>
          <w:szCs w:val="22"/>
          <w:lang w:val="fr-FR"/>
        </w:rPr>
      </w:pPr>
    </w:p>
    <w:p w14:paraId="66F22735" w14:textId="2F42B71A" w:rsidR="0077774B" w:rsidRPr="001221C2" w:rsidRDefault="0077774B" w:rsidP="0077774B">
      <w:pPr>
        <w:pStyle w:val="BodyTextIndent"/>
        <w:widowControl/>
        <w:numPr>
          <w:ilvl w:val="0"/>
          <w:numId w:val="21"/>
        </w:numPr>
        <w:ind w:left="1440" w:hanging="720"/>
        <w:rPr>
          <w:sz w:val="22"/>
          <w:szCs w:val="22"/>
          <w:lang w:val="fr-FR"/>
        </w:rPr>
      </w:pPr>
      <w:r w:rsidRPr="001221C2">
        <w:rPr>
          <w:sz w:val="22"/>
          <w:szCs w:val="22"/>
          <w:lang w:val="fr-FR"/>
        </w:rPr>
        <w:t>Envisager des mesures de transparence supplémentaires qui soient compatibles avec l’objectif de la Convention ainsi que des modifications des catégories d’armes classiques énumérées à l’annexe I de la Convention, en tenant compte des points de convergence entre la Convention et le Registre des armes classiques de l’Organisation des Nations Unies (ONU). Elle envisage également d’inclure les armes légères et de petit calibre dans le champ d’application de la Convention</w:t>
      </w:r>
      <w:r w:rsidR="00A77552" w:rsidRPr="001221C2">
        <w:rPr>
          <w:sz w:val="22"/>
          <w:szCs w:val="22"/>
          <w:lang w:val="fr-FR"/>
        </w:rPr>
        <w:t>. Les modifications de l’annexe I sont effectuées en vertu des dispositions de l’article XI de la Convention</w:t>
      </w:r>
      <w:r w:rsidRPr="001221C2">
        <w:rPr>
          <w:sz w:val="22"/>
          <w:szCs w:val="22"/>
          <w:lang w:val="fr-FR"/>
        </w:rPr>
        <w:t xml:space="preserve"> ;</w:t>
      </w:r>
    </w:p>
    <w:p w14:paraId="72D71509" w14:textId="77777777" w:rsidR="0077774B" w:rsidRPr="001221C2" w:rsidRDefault="0077774B" w:rsidP="0077774B">
      <w:pPr>
        <w:pStyle w:val="BodyTextIndent"/>
        <w:widowControl/>
        <w:rPr>
          <w:sz w:val="22"/>
          <w:szCs w:val="22"/>
          <w:lang w:val="fr-FR"/>
        </w:rPr>
      </w:pPr>
    </w:p>
    <w:p w14:paraId="404EF2FB" w14:textId="77777777" w:rsidR="0077774B" w:rsidRPr="001221C2" w:rsidRDefault="0077774B" w:rsidP="0077774B">
      <w:pPr>
        <w:pStyle w:val="BodyTextIndent"/>
        <w:widowControl/>
        <w:numPr>
          <w:ilvl w:val="0"/>
          <w:numId w:val="21"/>
        </w:numPr>
        <w:ind w:left="1440" w:hanging="720"/>
        <w:rPr>
          <w:sz w:val="22"/>
          <w:szCs w:val="22"/>
          <w:lang w:val="fr-FR"/>
        </w:rPr>
      </w:pPr>
      <w:r w:rsidRPr="001221C2">
        <w:rPr>
          <w:sz w:val="22"/>
          <w:szCs w:val="22"/>
          <w:lang w:val="fr-FR"/>
        </w:rPr>
        <w:t>Prendre les mesures nécessaires pour renforcer les relations entretenues par les États parties à la Convention et le Comité consultatif avec d’autres organismes internationaux et régionaux afin d’élaborer des programmes communs qui facilitent la mise en œuvre de la Convention et de gérer la coopération technique et financière aux fins d’exécution de ces programmes, en incluant la coordination avec l’ONU et le Registre des armes classiques de l’ONU.</w:t>
      </w:r>
    </w:p>
    <w:p w14:paraId="2FCC52A3" w14:textId="77777777" w:rsidR="0077774B" w:rsidRPr="001221C2" w:rsidRDefault="0077774B" w:rsidP="0077774B">
      <w:pPr>
        <w:pStyle w:val="BodyTextIndent"/>
        <w:widowControl/>
        <w:rPr>
          <w:sz w:val="22"/>
          <w:szCs w:val="22"/>
          <w:lang w:val="fr-FR"/>
        </w:rPr>
      </w:pPr>
    </w:p>
    <w:p w14:paraId="4C8B0DAF" w14:textId="77777777" w:rsidR="0077774B" w:rsidRPr="001221C2" w:rsidRDefault="0077774B" w:rsidP="00B65B8E">
      <w:pPr>
        <w:pStyle w:val="BodyTextIndent"/>
        <w:widowControl/>
        <w:rPr>
          <w:sz w:val="22"/>
          <w:szCs w:val="22"/>
          <w:lang w:val="fr-FR"/>
        </w:rPr>
      </w:pPr>
    </w:p>
    <w:p w14:paraId="0D98BD95" w14:textId="77777777" w:rsidR="0077774B" w:rsidRPr="001221C2" w:rsidRDefault="0077774B" w:rsidP="0077774B">
      <w:pPr>
        <w:pStyle w:val="BodyTextIndent"/>
        <w:widowControl/>
        <w:ind w:left="360"/>
        <w:jc w:val="center"/>
        <w:rPr>
          <w:sz w:val="22"/>
          <w:szCs w:val="22"/>
          <w:lang w:val="fr-FR"/>
        </w:rPr>
      </w:pPr>
      <w:r w:rsidRPr="001221C2">
        <w:rPr>
          <w:sz w:val="22"/>
          <w:szCs w:val="22"/>
          <w:lang w:val="fr-FR"/>
        </w:rPr>
        <w:t>CHAPITRE III</w:t>
      </w:r>
    </w:p>
    <w:p w14:paraId="37ADA9C9" w14:textId="77777777" w:rsidR="0077774B" w:rsidRPr="001221C2" w:rsidRDefault="0077774B" w:rsidP="0077774B">
      <w:pPr>
        <w:pStyle w:val="BodyTextIndent"/>
        <w:widowControl/>
        <w:ind w:left="360"/>
        <w:jc w:val="center"/>
        <w:rPr>
          <w:sz w:val="22"/>
          <w:szCs w:val="22"/>
          <w:lang w:val="fr-FR"/>
        </w:rPr>
      </w:pPr>
      <w:r w:rsidRPr="001221C2">
        <w:rPr>
          <w:sz w:val="22"/>
          <w:szCs w:val="22"/>
          <w:lang w:val="fr-FR"/>
        </w:rPr>
        <w:t>COMPOSITION ET ORGANISATION</w:t>
      </w:r>
    </w:p>
    <w:p w14:paraId="1C5767C0" w14:textId="77777777" w:rsidR="0077774B" w:rsidRPr="001221C2" w:rsidRDefault="0077774B" w:rsidP="00B65B8E">
      <w:pPr>
        <w:pStyle w:val="BodyTextIndent"/>
        <w:widowControl/>
        <w:rPr>
          <w:sz w:val="22"/>
          <w:szCs w:val="22"/>
          <w:lang w:val="fr-FR"/>
        </w:rPr>
      </w:pPr>
    </w:p>
    <w:p w14:paraId="60340185" w14:textId="77777777" w:rsidR="0077774B" w:rsidRPr="001221C2" w:rsidRDefault="0077774B" w:rsidP="0077774B">
      <w:pPr>
        <w:pStyle w:val="BodyTextIndent"/>
        <w:widowControl/>
        <w:rPr>
          <w:b/>
          <w:bCs/>
          <w:sz w:val="22"/>
          <w:szCs w:val="22"/>
          <w:lang w:val="fr-FR"/>
        </w:rPr>
      </w:pPr>
      <w:r w:rsidRPr="001221C2">
        <w:rPr>
          <w:b/>
          <w:sz w:val="22"/>
          <w:szCs w:val="22"/>
          <w:lang w:val="fr-FR"/>
        </w:rPr>
        <w:t>Article 4</w:t>
      </w:r>
    </w:p>
    <w:p w14:paraId="462B442D" w14:textId="77777777" w:rsidR="0077774B" w:rsidRPr="001221C2" w:rsidRDefault="0077774B" w:rsidP="0077774B">
      <w:pPr>
        <w:pStyle w:val="BodyTextIndent"/>
        <w:widowControl/>
        <w:rPr>
          <w:b/>
          <w:bCs/>
          <w:sz w:val="22"/>
          <w:szCs w:val="22"/>
          <w:lang w:val="fr-FR"/>
        </w:rPr>
      </w:pPr>
    </w:p>
    <w:p w14:paraId="04E34BAB" w14:textId="77777777" w:rsidR="0077774B" w:rsidRPr="001221C2" w:rsidRDefault="0077774B" w:rsidP="00B65B8E">
      <w:pPr>
        <w:pStyle w:val="BodyTextIndent"/>
        <w:widowControl/>
        <w:ind w:firstLine="720"/>
        <w:rPr>
          <w:sz w:val="22"/>
          <w:szCs w:val="22"/>
          <w:u w:val="single"/>
          <w:lang w:val="fr-FR"/>
        </w:rPr>
      </w:pPr>
      <w:r w:rsidRPr="001221C2">
        <w:rPr>
          <w:sz w:val="22"/>
          <w:szCs w:val="22"/>
          <w:lang w:val="fr-FR"/>
        </w:rPr>
        <w:t>La Conférence est composée des États parties à la Convention. Chaque État partie désigne un chef de délégation et les délégués</w:t>
      </w:r>
      <w:r w:rsidRPr="001221C2">
        <w:rPr>
          <w:i/>
          <w:sz w:val="22"/>
          <w:szCs w:val="22"/>
          <w:lang w:val="fr-FR"/>
        </w:rPr>
        <w:t xml:space="preserve"> </w:t>
      </w:r>
      <w:r w:rsidRPr="001221C2">
        <w:rPr>
          <w:sz w:val="22"/>
          <w:szCs w:val="22"/>
          <w:lang w:val="fr-FR"/>
        </w:rPr>
        <w:t xml:space="preserve">qu'il juge nécessaires. </w:t>
      </w:r>
    </w:p>
    <w:p w14:paraId="1EDA8004" w14:textId="77777777" w:rsidR="0077774B" w:rsidRPr="001221C2" w:rsidRDefault="0077774B" w:rsidP="0077774B">
      <w:pPr>
        <w:pStyle w:val="BodyTextIndent"/>
        <w:widowControl/>
        <w:rPr>
          <w:b/>
          <w:bCs/>
          <w:sz w:val="22"/>
          <w:szCs w:val="22"/>
          <w:lang w:val="fr-FR"/>
        </w:rPr>
      </w:pPr>
    </w:p>
    <w:p w14:paraId="3F6DE954" w14:textId="77777777" w:rsidR="0077774B" w:rsidRPr="001221C2" w:rsidRDefault="0077774B" w:rsidP="0077774B">
      <w:pPr>
        <w:pStyle w:val="BodyTextIndent"/>
        <w:widowControl/>
        <w:rPr>
          <w:b/>
          <w:bCs/>
          <w:sz w:val="22"/>
          <w:szCs w:val="22"/>
          <w:lang w:val="fr-FR"/>
        </w:rPr>
      </w:pPr>
      <w:r w:rsidRPr="001221C2">
        <w:rPr>
          <w:b/>
          <w:sz w:val="22"/>
          <w:szCs w:val="22"/>
          <w:lang w:val="fr-FR"/>
        </w:rPr>
        <w:t>Article 5</w:t>
      </w:r>
    </w:p>
    <w:p w14:paraId="769D071E" w14:textId="77777777" w:rsidR="0077774B" w:rsidRPr="001221C2" w:rsidRDefault="0077774B" w:rsidP="0077774B">
      <w:pPr>
        <w:pStyle w:val="BodyTextIndent"/>
        <w:widowControl/>
        <w:rPr>
          <w:b/>
          <w:bCs/>
          <w:sz w:val="22"/>
          <w:szCs w:val="22"/>
          <w:lang w:val="fr-FR"/>
        </w:rPr>
      </w:pPr>
    </w:p>
    <w:p w14:paraId="0126EE4E" w14:textId="77777777" w:rsidR="0077774B" w:rsidRPr="001221C2" w:rsidRDefault="0077774B" w:rsidP="00B65B8E">
      <w:pPr>
        <w:pStyle w:val="BodyTextIndent"/>
        <w:widowControl/>
        <w:ind w:firstLine="720"/>
        <w:rPr>
          <w:sz w:val="22"/>
          <w:szCs w:val="22"/>
          <w:lang w:val="fr-FR"/>
        </w:rPr>
      </w:pPr>
      <w:r w:rsidRPr="001221C2">
        <w:rPr>
          <w:sz w:val="22"/>
          <w:szCs w:val="22"/>
          <w:lang w:val="fr-FR"/>
        </w:rPr>
        <w:t>La Conférence a un président et trois vice-présidents. Le président et les vice-présidents sont élus au début de chaque Conférence selon la procédure prévue à l’article 14 du présent Règlement.</w:t>
      </w:r>
    </w:p>
    <w:p w14:paraId="4D90E919" w14:textId="77777777" w:rsidR="0077774B" w:rsidRPr="001221C2" w:rsidRDefault="0077774B" w:rsidP="0077774B">
      <w:pPr>
        <w:pStyle w:val="BodyTextIndent"/>
        <w:widowControl/>
        <w:rPr>
          <w:sz w:val="22"/>
          <w:szCs w:val="22"/>
          <w:lang w:val="fr-FR"/>
        </w:rPr>
      </w:pPr>
    </w:p>
    <w:p w14:paraId="4B4B37DA" w14:textId="77777777" w:rsidR="0077774B" w:rsidRPr="001221C2" w:rsidRDefault="0077774B" w:rsidP="00B65B8E">
      <w:pPr>
        <w:pStyle w:val="BodyTextIndent"/>
        <w:widowControl/>
        <w:ind w:firstLine="720"/>
        <w:rPr>
          <w:sz w:val="22"/>
          <w:szCs w:val="22"/>
          <w:lang w:val="fr-FR"/>
        </w:rPr>
      </w:pPr>
      <w:r w:rsidRPr="001221C2">
        <w:rPr>
          <w:sz w:val="22"/>
          <w:szCs w:val="22"/>
          <w:lang w:val="fr-FR"/>
        </w:rPr>
        <w:t>L'État partie élu à la présidence de la Conférence exerce cette fonction jusqu'à la Conférence suivante.</w:t>
      </w:r>
    </w:p>
    <w:p w14:paraId="1FAA8E59" w14:textId="77777777" w:rsidR="0077774B" w:rsidRPr="001221C2" w:rsidRDefault="0077774B" w:rsidP="0077774B">
      <w:pPr>
        <w:pStyle w:val="BodyTextIndent"/>
        <w:widowControl/>
        <w:rPr>
          <w:sz w:val="22"/>
          <w:szCs w:val="22"/>
          <w:lang w:val="fr-FR"/>
        </w:rPr>
      </w:pPr>
    </w:p>
    <w:p w14:paraId="6D23B23D" w14:textId="77777777" w:rsidR="0077774B" w:rsidRPr="001221C2" w:rsidRDefault="0077774B" w:rsidP="00B65B8E">
      <w:pPr>
        <w:pStyle w:val="BodyTextIndent"/>
        <w:widowControl/>
        <w:ind w:firstLine="720"/>
        <w:rPr>
          <w:sz w:val="22"/>
          <w:szCs w:val="22"/>
          <w:lang w:val="fr-FR"/>
        </w:rPr>
      </w:pPr>
      <w:r w:rsidRPr="001221C2">
        <w:rPr>
          <w:sz w:val="22"/>
          <w:szCs w:val="22"/>
          <w:lang w:val="fr-FR"/>
        </w:rPr>
        <w:t>Lorsque l’État partie qui exerce la présidence est absent de tout ou partie d’une réunion, le premier vice-président le remplace et, en l’absence de celui-ci, le deuxième vice-président exerce la présidence. En cas d'absence de ce dernier, le troisième vice-président le remplace.</w:t>
      </w:r>
    </w:p>
    <w:p w14:paraId="0D79BA0F" w14:textId="77777777" w:rsidR="0077774B" w:rsidRPr="001221C2" w:rsidRDefault="0077774B" w:rsidP="0077774B">
      <w:pPr>
        <w:pStyle w:val="BodyTextIndent"/>
        <w:widowControl/>
        <w:rPr>
          <w:sz w:val="22"/>
          <w:szCs w:val="22"/>
          <w:lang w:val="fr-FR"/>
        </w:rPr>
      </w:pPr>
    </w:p>
    <w:p w14:paraId="11E39A82" w14:textId="77777777" w:rsidR="0077774B" w:rsidRPr="001221C2" w:rsidRDefault="0077774B" w:rsidP="0077774B">
      <w:pPr>
        <w:pStyle w:val="BodyTextIndent"/>
        <w:widowControl/>
        <w:rPr>
          <w:b/>
          <w:bCs/>
          <w:sz w:val="22"/>
          <w:szCs w:val="22"/>
          <w:lang w:val="fr-FR"/>
        </w:rPr>
      </w:pPr>
      <w:r w:rsidRPr="001221C2">
        <w:rPr>
          <w:b/>
          <w:sz w:val="22"/>
          <w:szCs w:val="22"/>
          <w:lang w:val="fr-FR"/>
        </w:rPr>
        <w:t>Article 6</w:t>
      </w:r>
    </w:p>
    <w:p w14:paraId="63AB2486" w14:textId="77777777" w:rsidR="0077774B" w:rsidRPr="001221C2" w:rsidRDefault="0077774B" w:rsidP="0077774B">
      <w:pPr>
        <w:pStyle w:val="BodyTextIndent"/>
        <w:widowControl/>
        <w:rPr>
          <w:sz w:val="22"/>
          <w:szCs w:val="22"/>
          <w:lang w:val="fr-FR"/>
        </w:rPr>
      </w:pPr>
    </w:p>
    <w:p w14:paraId="37A50478" w14:textId="77777777" w:rsidR="0077774B" w:rsidRPr="001221C2" w:rsidRDefault="0077774B" w:rsidP="00B65B8E">
      <w:pPr>
        <w:pStyle w:val="BodyTextIndent"/>
        <w:widowControl/>
        <w:ind w:firstLine="720"/>
        <w:rPr>
          <w:sz w:val="22"/>
          <w:szCs w:val="22"/>
          <w:lang w:val="fr-FR"/>
        </w:rPr>
      </w:pPr>
      <w:r w:rsidRPr="001221C2">
        <w:rPr>
          <w:sz w:val="22"/>
          <w:szCs w:val="22"/>
          <w:lang w:val="fr-FR"/>
        </w:rPr>
        <w:t>L’État partie qui préside la Conférence a pour attributions les suivantes :</w:t>
      </w:r>
    </w:p>
    <w:p w14:paraId="50A936A0" w14:textId="77777777" w:rsidR="0077774B" w:rsidRPr="001221C2" w:rsidRDefault="0077774B" w:rsidP="0077774B">
      <w:pPr>
        <w:pStyle w:val="BodyTextIndent"/>
        <w:widowControl/>
        <w:rPr>
          <w:sz w:val="22"/>
          <w:szCs w:val="22"/>
          <w:lang w:val="fr-FR"/>
        </w:rPr>
      </w:pPr>
    </w:p>
    <w:p w14:paraId="06A17976" w14:textId="77777777" w:rsidR="0077774B" w:rsidRPr="001221C2" w:rsidRDefault="0077774B" w:rsidP="0077774B">
      <w:pPr>
        <w:pStyle w:val="BodyTextIndent"/>
        <w:widowControl/>
        <w:numPr>
          <w:ilvl w:val="0"/>
          <w:numId w:val="22"/>
        </w:numPr>
        <w:ind w:left="1440" w:hanging="720"/>
        <w:rPr>
          <w:sz w:val="22"/>
          <w:szCs w:val="22"/>
          <w:lang w:val="fr-FR"/>
        </w:rPr>
      </w:pPr>
      <w:r w:rsidRPr="001221C2">
        <w:rPr>
          <w:sz w:val="22"/>
          <w:szCs w:val="22"/>
          <w:lang w:val="fr-FR"/>
        </w:rPr>
        <w:t>Organiser la Conférence.</w:t>
      </w:r>
    </w:p>
    <w:p w14:paraId="7BBD5577" w14:textId="77777777" w:rsidR="0077774B" w:rsidRPr="001221C2" w:rsidRDefault="0077774B" w:rsidP="00B65B8E">
      <w:pPr>
        <w:pStyle w:val="BodyTextIndent"/>
        <w:widowControl/>
        <w:rPr>
          <w:sz w:val="22"/>
          <w:szCs w:val="22"/>
          <w:lang w:val="fr-FR"/>
        </w:rPr>
      </w:pPr>
    </w:p>
    <w:p w14:paraId="2984BFE0" w14:textId="77777777" w:rsidR="0077774B" w:rsidRPr="001221C2" w:rsidRDefault="0077774B" w:rsidP="0077774B">
      <w:pPr>
        <w:pStyle w:val="BodyTextIndent"/>
        <w:widowControl/>
        <w:numPr>
          <w:ilvl w:val="0"/>
          <w:numId w:val="23"/>
        </w:numPr>
        <w:ind w:left="1440" w:hanging="720"/>
        <w:rPr>
          <w:sz w:val="22"/>
          <w:szCs w:val="22"/>
          <w:lang w:val="fr-FR"/>
        </w:rPr>
      </w:pPr>
      <w:r w:rsidRPr="001221C2">
        <w:rPr>
          <w:sz w:val="22"/>
          <w:szCs w:val="22"/>
          <w:lang w:val="fr-FR"/>
        </w:rPr>
        <w:t>Ouvrir et clore toutes les séances et diriger les débats.</w:t>
      </w:r>
    </w:p>
    <w:p w14:paraId="64C1C1C6" w14:textId="77777777" w:rsidR="0077774B" w:rsidRPr="001221C2" w:rsidRDefault="0077774B" w:rsidP="0077774B">
      <w:pPr>
        <w:pStyle w:val="BodyTextIndent"/>
        <w:widowControl/>
        <w:rPr>
          <w:sz w:val="22"/>
          <w:szCs w:val="22"/>
          <w:lang w:val="fr-FR"/>
        </w:rPr>
      </w:pPr>
    </w:p>
    <w:p w14:paraId="7833BB1E" w14:textId="77777777" w:rsidR="0077774B" w:rsidRPr="001221C2" w:rsidRDefault="0077774B" w:rsidP="0077774B">
      <w:pPr>
        <w:pStyle w:val="BodyTextIndent"/>
        <w:widowControl/>
        <w:numPr>
          <w:ilvl w:val="0"/>
          <w:numId w:val="23"/>
        </w:numPr>
        <w:ind w:left="1440" w:hanging="720"/>
        <w:rPr>
          <w:sz w:val="22"/>
          <w:szCs w:val="22"/>
          <w:lang w:val="fr-FR"/>
        </w:rPr>
      </w:pPr>
      <w:r w:rsidRPr="001221C2">
        <w:rPr>
          <w:sz w:val="22"/>
          <w:szCs w:val="22"/>
          <w:lang w:val="fr-FR"/>
        </w:rPr>
        <w:t>Proposer le projet d'ordre du jour de la Conférence et tout autre document qu'il juge nécessaire.</w:t>
      </w:r>
    </w:p>
    <w:p w14:paraId="739E6734" w14:textId="77777777" w:rsidR="0077774B" w:rsidRPr="001221C2" w:rsidRDefault="0077774B" w:rsidP="00B65B8E">
      <w:pPr>
        <w:pStyle w:val="BodyTextIndent"/>
        <w:widowControl/>
        <w:rPr>
          <w:sz w:val="22"/>
          <w:szCs w:val="22"/>
          <w:lang w:val="fr-FR"/>
        </w:rPr>
      </w:pPr>
    </w:p>
    <w:p w14:paraId="1EEA3918" w14:textId="77777777" w:rsidR="0077774B" w:rsidRPr="001221C2" w:rsidRDefault="0077774B" w:rsidP="0077774B">
      <w:pPr>
        <w:pStyle w:val="BodyTextIndent"/>
        <w:widowControl/>
        <w:numPr>
          <w:ilvl w:val="0"/>
          <w:numId w:val="24"/>
        </w:numPr>
        <w:ind w:left="1440" w:hanging="720"/>
        <w:rPr>
          <w:sz w:val="22"/>
          <w:szCs w:val="22"/>
          <w:lang w:val="fr-FR"/>
        </w:rPr>
      </w:pPr>
      <w:r w:rsidRPr="001221C2">
        <w:rPr>
          <w:sz w:val="22"/>
          <w:szCs w:val="22"/>
          <w:lang w:val="fr-FR"/>
        </w:rPr>
        <w:lastRenderedPageBreak/>
        <w:t>Statuer sur les points d’ordre soulevés lors des délibérations.</w:t>
      </w:r>
    </w:p>
    <w:p w14:paraId="1A9D034C" w14:textId="77777777" w:rsidR="0077774B" w:rsidRPr="001221C2" w:rsidRDefault="0077774B" w:rsidP="00B65B8E">
      <w:pPr>
        <w:pStyle w:val="BodyTextIndent"/>
        <w:widowControl/>
        <w:rPr>
          <w:sz w:val="22"/>
          <w:szCs w:val="22"/>
          <w:lang w:val="fr-FR"/>
        </w:rPr>
      </w:pPr>
    </w:p>
    <w:p w14:paraId="14942938" w14:textId="77777777" w:rsidR="0077774B" w:rsidRPr="001221C2" w:rsidRDefault="0077774B" w:rsidP="0077774B">
      <w:pPr>
        <w:pStyle w:val="BodyTextIndent"/>
        <w:widowControl/>
        <w:numPr>
          <w:ilvl w:val="0"/>
          <w:numId w:val="25"/>
        </w:numPr>
        <w:ind w:left="1440" w:hanging="720"/>
        <w:rPr>
          <w:sz w:val="22"/>
          <w:szCs w:val="22"/>
          <w:lang w:val="fr-FR"/>
        </w:rPr>
      </w:pPr>
      <w:r w:rsidRPr="001221C2">
        <w:rPr>
          <w:sz w:val="22"/>
          <w:szCs w:val="22"/>
          <w:lang w:val="fr-FR"/>
        </w:rPr>
        <w:t>Mettre aux voix les points en débat qui requièrent une décision et annoncer les résultats.</w:t>
      </w:r>
    </w:p>
    <w:p w14:paraId="12FDFC13" w14:textId="77777777" w:rsidR="0077774B" w:rsidRPr="001221C2" w:rsidRDefault="0077774B" w:rsidP="00B65B8E">
      <w:pPr>
        <w:pStyle w:val="BodyTextIndent"/>
        <w:widowControl/>
        <w:rPr>
          <w:sz w:val="22"/>
          <w:szCs w:val="22"/>
          <w:lang w:val="fr-FR"/>
        </w:rPr>
      </w:pPr>
    </w:p>
    <w:p w14:paraId="34BC1741" w14:textId="77777777" w:rsidR="0077774B" w:rsidRPr="001221C2" w:rsidRDefault="0077774B" w:rsidP="0077774B">
      <w:pPr>
        <w:pStyle w:val="BodyTextIndent"/>
        <w:widowControl/>
        <w:numPr>
          <w:ilvl w:val="0"/>
          <w:numId w:val="26"/>
        </w:numPr>
        <w:ind w:left="1440" w:hanging="720"/>
        <w:rPr>
          <w:sz w:val="22"/>
          <w:szCs w:val="22"/>
          <w:lang w:val="fr-FR"/>
        </w:rPr>
      </w:pPr>
      <w:r w:rsidRPr="001221C2">
        <w:rPr>
          <w:sz w:val="22"/>
          <w:szCs w:val="22"/>
          <w:lang w:val="fr-FR"/>
        </w:rPr>
        <w:t>Toute autre attribution établie aux termes du présent Règlement et par la Conférence.</w:t>
      </w:r>
    </w:p>
    <w:p w14:paraId="2ED4F4DA" w14:textId="77777777" w:rsidR="0077774B" w:rsidRPr="001221C2" w:rsidRDefault="0077774B" w:rsidP="0077774B">
      <w:pPr>
        <w:pStyle w:val="BodyTextIndent"/>
        <w:widowControl/>
        <w:rPr>
          <w:sz w:val="22"/>
          <w:szCs w:val="22"/>
          <w:lang w:val="fr-FR"/>
        </w:rPr>
      </w:pPr>
    </w:p>
    <w:p w14:paraId="3AC219AD" w14:textId="77777777" w:rsidR="0077774B" w:rsidRPr="001221C2" w:rsidRDefault="0077774B" w:rsidP="0077774B">
      <w:pPr>
        <w:pStyle w:val="BodyTextIndent"/>
        <w:widowControl/>
        <w:rPr>
          <w:b/>
          <w:bCs/>
          <w:sz w:val="22"/>
          <w:szCs w:val="22"/>
          <w:lang w:val="fr-FR"/>
        </w:rPr>
      </w:pPr>
      <w:r w:rsidRPr="001221C2">
        <w:rPr>
          <w:b/>
          <w:sz w:val="22"/>
          <w:szCs w:val="22"/>
          <w:lang w:val="fr-FR"/>
        </w:rPr>
        <w:t>Article 7</w:t>
      </w:r>
    </w:p>
    <w:p w14:paraId="435FCA74" w14:textId="77777777" w:rsidR="0077774B" w:rsidRPr="001221C2" w:rsidRDefault="0077774B" w:rsidP="0077774B">
      <w:pPr>
        <w:pStyle w:val="BodyTextIndent"/>
        <w:widowControl/>
        <w:rPr>
          <w:sz w:val="22"/>
          <w:szCs w:val="22"/>
          <w:lang w:val="fr-FR"/>
        </w:rPr>
      </w:pPr>
    </w:p>
    <w:p w14:paraId="4CE69E5B" w14:textId="77777777" w:rsidR="0077774B" w:rsidRPr="001221C2" w:rsidRDefault="0077774B" w:rsidP="00B65B8E">
      <w:pPr>
        <w:pStyle w:val="BodyTextIndent"/>
        <w:widowControl/>
        <w:ind w:firstLine="720"/>
        <w:rPr>
          <w:sz w:val="22"/>
          <w:szCs w:val="22"/>
          <w:lang w:val="fr-FR"/>
        </w:rPr>
      </w:pPr>
      <w:r w:rsidRPr="001221C2">
        <w:rPr>
          <w:sz w:val="22"/>
          <w:szCs w:val="22"/>
          <w:lang w:val="fr-FR"/>
        </w:rPr>
        <w:t xml:space="preserve">La présidence convoque au moins une réunion préparatoire à la prochaine Conférence, suffisamment tôt avant la date prévue pour ladite Conférence, afin de permettre aux États parties d'envisager d'y envoyer leurs représentants. </w:t>
      </w:r>
    </w:p>
    <w:p w14:paraId="4655D735" w14:textId="77777777" w:rsidR="0077774B" w:rsidRPr="001221C2" w:rsidRDefault="0077774B" w:rsidP="0077774B">
      <w:pPr>
        <w:pStyle w:val="BodyTextIndent"/>
        <w:widowControl/>
        <w:rPr>
          <w:sz w:val="22"/>
          <w:szCs w:val="22"/>
          <w:lang w:val="fr-FR"/>
        </w:rPr>
      </w:pPr>
    </w:p>
    <w:p w14:paraId="662DF766" w14:textId="77777777" w:rsidR="0077774B" w:rsidRPr="001221C2" w:rsidRDefault="0077774B" w:rsidP="00B65B8E">
      <w:pPr>
        <w:pStyle w:val="BodyTextIndent"/>
        <w:widowControl/>
        <w:ind w:firstLine="720"/>
        <w:rPr>
          <w:sz w:val="22"/>
          <w:szCs w:val="22"/>
          <w:lang w:val="fr-FR"/>
        </w:rPr>
      </w:pPr>
      <w:r w:rsidRPr="001221C2">
        <w:rPr>
          <w:sz w:val="22"/>
          <w:szCs w:val="22"/>
          <w:lang w:val="fr-FR"/>
        </w:rPr>
        <w:t xml:space="preserve">Les réunions préparatoires sont consacrées à l’examen et à l’élaboration des projets d’ordre du jour, de calendrier et de document final de la Conférence respective. À ces fins, les réunions préparatoires établissent les délais dans lesquels les États parties à la Convention, par l’entremise de leurs missions permanentes près l’Organisation des États Américains (OEA), sont habilités à présenter des propositions en rapport avec les projets susmentionnés. </w:t>
      </w:r>
    </w:p>
    <w:p w14:paraId="0C78FA85" w14:textId="77777777" w:rsidR="0077774B" w:rsidRPr="001221C2" w:rsidRDefault="0077774B" w:rsidP="0077774B">
      <w:pPr>
        <w:pStyle w:val="BodyTextIndent"/>
        <w:widowControl/>
        <w:rPr>
          <w:sz w:val="22"/>
          <w:szCs w:val="22"/>
          <w:lang w:val="fr-FR"/>
        </w:rPr>
      </w:pPr>
    </w:p>
    <w:p w14:paraId="182F7A77" w14:textId="77777777" w:rsidR="0077774B" w:rsidRPr="001221C2" w:rsidRDefault="0077774B" w:rsidP="00B65B8E">
      <w:pPr>
        <w:pStyle w:val="BodyTextIndent"/>
        <w:widowControl/>
        <w:ind w:firstLine="720"/>
        <w:rPr>
          <w:sz w:val="22"/>
          <w:szCs w:val="22"/>
          <w:lang w:val="fr-FR"/>
        </w:rPr>
      </w:pPr>
      <w:r w:rsidRPr="001221C2">
        <w:rPr>
          <w:sz w:val="22"/>
          <w:szCs w:val="22"/>
          <w:lang w:val="fr-FR"/>
        </w:rPr>
        <w:t xml:space="preserve">Les décisions prises lors des réunions préparatoires sont subordonnées aux dispositions pertinentes des articles 13, 14 et 15 du présent Règlement. </w:t>
      </w:r>
    </w:p>
    <w:p w14:paraId="7079D8E8" w14:textId="77777777" w:rsidR="0077774B" w:rsidRPr="001221C2" w:rsidRDefault="0077774B" w:rsidP="0077774B">
      <w:pPr>
        <w:pStyle w:val="BodyTextIndent"/>
        <w:widowControl/>
        <w:rPr>
          <w:b/>
          <w:sz w:val="22"/>
          <w:szCs w:val="22"/>
          <w:lang w:val="fr-FR"/>
        </w:rPr>
      </w:pPr>
    </w:p>
    <w:p w14:paraId="0D832688" w14:textId="77777777" w:rsidR="0077774B" w:rsidRPr="001221C2" w:rsidRDefault="0077774B" w:rsidP="00B65B8E">
      <w:pPr>
        <w:pStyle w:val="BodyTextIndent"/>
        <w:widowControl/>
        <w:rPr>
          <w:sz w:val="22"/>
          <w:szCs w:val="22"/>
          <w:lang w:val="fr-FR"/>
        </w:rPr>
      </w:pPr>
    </w:p>
    <w:p w14:paraId="7B69F8C2" w14:textId="77777777" w:rsidR="0077774B" w:rsidRPr="001221C2" w:rsidRDefault="0077774B" w:rsidP="0077774B">
      <w:pPr>
        <w:pStyle w:val="BodyTextIndent"/>
        <w:widowControl/>
        <w:jc w:val="center"/>
        <w:rPr>
          <w:sz w:val="22"/>
          <w:szCs w:val="22"/>
          <w:lang w:val="fr-FR"/>
        </w:rPr>
      </w:pPr>
      <w:r w:rsidRPr="001221C2">
        <w:rPr>
          <w:sz w:val="22"/>
          <w:szCs w:val="22"/>
          <w:lang w:val="fr-FR"/>
        </w:rPr>
        <w:t>CHAPITRE IV</w:t>
      </w:r>
    </w:p>
    <w:p w14:paraId="2B792403" w14:textId="77777777" w:rsidR="0077774B" w:rsidRPr="001221C2" w:rsidRDefault="0077774B" w:rsidP="0077774B">
      <w:pPr>
        <w:pStyle w:val="BodyTextIndent"/>
        <w:widowControl/>
        <w:jc w:val="center"/>
        <w:rPr>
          <w:sz w:val="22"/>
          <w:szCs w:val="22"/>
          <w:lang w:val="fr-FR"/>
        </w:rPr>
      </w:pPr>
      <w:r w:rsidRPr="001221C2">
        <w:rPr>
          <w:sz w:val="22"/>
          <w:szCs w:val="22"/>
          <w:lang w:val="fr-FR"/>
        </w:rPr>
        <w:t>RÉUNIONS</w:t>
      </w:r>
    </w:p>
    <w:p w14:paraId="6167528A" w14:textId="77777777" w:rsidR="0077774B" w:rsidRPr="001221C2" w:rsidRDefault="0077774B" w:rsidP="0077774B">
      <w:pPr>
        <w:pStyle w:val="BodyTextIndent"/>
        <w:widowControl/>
        <w:rPr>
          <w:sz w:val="22"/>
          <w:szCs w:val="22"/>
          <w:lang w:val="fr-FR"/>
        </w:rPr>
      </w:pPr>
    </w:p>
    <w:p w14:paraId="53D674F6" w14:textId="77777777" w:rsidR="0077774B" w:rsidRPr="001221C2" w:rsidRDefault="0077774B" w:rsidP="0077774B">
      <w:pPr>
        <w:pStyle w:val="BodyTextIndent"/>
        <w:widowControl/>
        <w:rPr>
          <w:b/>
          <w:bCs/>
          <w:sz w:val="22"/>
          <w:szCs w:val="22"/>
          <w:lang w:val="fr-FR"/>
        </w:rPr>
      </w:pPr>
      <w:r w:rsidRPr="001221C2">
        <w:rPr>
          <w:b/>
          <w:sz w:val="22"/>
          <w:szCs w:val="22"/>
          <w:lang w:val="fr-FR"/>
        </w:rPr>
        <w:t>Article 8</w:t>
      </w:r>
    </w:p>
    <w:p w14:paraId="6551F2BB" w14:textId="77777777" w:rsidR="0077774B" w:rsidRPr="001221C2" w:rsidRDefault="0077774B" w:rsidP="0077774B">
      <w:pPr>
        <w:pStyle w:val="BodyTextIndent"/>
        <w:widowControl/>
        <w:rPr>
          <w:b/>
          <w:bCs/>
          <w:sz w:val="22"/>
          <w:szCs w:val="22"/>
          <w:lang w:val="fr-FR"/>
        </w:rPr>
      </w:pPr>
    </w:p>
    <w:p w14:paraId="13D9E952" w14:textId="77777777" w:rsidR="0077774B" w:rsidRPr="001221C2" w:rsidRDefault="0077774B" w:rsidP="00B65B8E">
      <w:pPr>
        <w:pStyle w:val="BodyTextIndent"/>
        <w:widowControl/>
        <w:ind w:firstLine="720"/>
        <w:rPr>
          <w:sz w:val="22"/>
          <w:szCs w:val="22"/>
          <w:lang w:val="fr-FR"/>
        </w:rPr>
      </w:pPr>
      <w:r w:rsidRPr="001221C2">
        <w:rPr>
          <w:sz w:val="22"/>
          <w:szCs w:val="22"/>
          <w:lang w:val="fr-FR"/>
        </w:rPr>
        <w:t xml:space="preserve">La Deuxième Conférence se tiendra à une date qui sera convenue au sein de la Commission sur la sécurité continentale et approuvée par les États parties par l’entremise de leurs missions permanentes près l'OEA au sein du Conseil permanent. Chaque Conférence décide de la date à laquelle se tiendra la Conférence suivante, sans préjudice de la convocation de Conférences supplémentaires lorsque le Comité consultatif des États parties le juge nécessaire. </w:t>
      </w:r>
    </w:p>
    <w:p w14:paraId="29D8AC28" w14:textId="77777777" w:rsidR="0077774B" w:rsidRPr="001221C2" w:rsidRDefault="0077774B" w:rsidP="0077774B">
      <w:pPr>
        <w:pStyle w:val="BodyTextIndent"/>
        <w:widowControl/>
        <w:rPr>
          <w:sz w:val="22"/>
          <w:szCs w:val="22"/>
          <w:lang w:val="fr-FR"/>
        </w:rPr>
      </w:pPr>
    </w:p>
    <w:p w14:paraId="78514B4D" w14:textId="77777777" w:rsidR="0077774B" w:rsidRPr="001221C2" w:rsidRDefault="0077774B" w:rsidP="0077774B">
      <w:pPr>
        <w:pStyle w:val="BodyTextIndent"/>
        <w:widowControl/>
        <w:rPr>
          <w:b/>
          <w:bCs/>
          <w:sz w:val="22"/>
          <w:szCs w:val="22"/>
          <w:lang w:val="fr-FR"/>
        </w:rPr>
      </w:pPr>
      <w:r w:rsidRPr="001221C2">
        <w:rPr>
          <w:b/>
          <w:sz w:val="22"/>
          <w:szCs w:val="22"/>
          <w:lang w:val="fr-FR"/>
        </w:rPr>
        <w:t>Article 9</w:t>
      </w:r>
    </w:p>
    <w:p w14:paraId="61C2C1D5" w14:textId="77777777" w:rsidR="0077774B" w:rsidRPr="001221C2" w:rsidRDefault="0077774B" w:rsidP="0077774B">
      <w:pPr>
        <w:pStyle w:val="BodyTextIndent"/>
        <w:widowControl/>
        <w:rPr>
          <w:b/>
          <w:bCs/>
          <w:sz w:val="22"/>
          <w:szCs w:val="22"/>
          <w:lang w:val="fr-FR"/>
        </w:rPr>
      </w:pPr>
    </w:p>
    <w:p w14:paraId="0792E1C6" w14:textId="77777777" w:rsidR="0077774B" w:rsidRPr="001221C2" w:rsidRDefault="0077774B" w:rsidP="00B65B8E">
      <w:pPr>
        <w:pStyle w:val="BodyTextIndent"/>
        <w:widowControl/>
        <w:ind w:firstLine="720"/>
        <w:rPr>
          <w:sz w:val="22"/>
          <w:szCs w:val="22"/>
          <w:lang w:val="fr-FR"/>
        </w:rPr>
      </w:pPr>
      <w:r w:rsidRPr="001221C2">
        <w:rPr>
          <w:sz w:val="22"/>
          <w:szCs w:val="22"/>
          <w:lang w:val="fr-FR"/>
        </w:rPr>
        <w:t>L'accréditation des délégations désignées par les États parties pour les représenter à une Conférence se fait par le biais d’une communication écrite adressée au Secrétaire général de l'OEA.</w:t>
      </w:r>
    </w:p>
    <w:p w14:paraId="28EC10CB" w14:textId="77777777" w:rsidR="0077774B" w:rsidRPr="001221C2" w:rsidRDefault="0077774B" w:rsidP="0077774B">
      <w:pPr>
        <w:pStyle w:val="BodyTextIndent"/>
        <w:widowControl/>
        <w:rPr>
          <w:sz w:val="22"/>
          <w:szCs w:val="22"/>
          <w:lang w:val="fr-FR"/>
        </w:rPr>
      </w:pPr>
    </w:p>
    <w:p w14:paraId="034D0781" w14:textId="77777777" w:rsidR="0077774B" w:rsidRPr="001221C2" w:rsidRDefault="0077774B" w:rsidP="0077774B">
      <w:pPr>
        <w:pStyle w:val="BodyTextIndent"/>
        <w:widowControl/>
        <w:rPr>
          <w:b/>
          <w:bCs/>
          <w:sz w:val="22"/>
          <w:szCs w:val="22"/>
          <w:lang w:val="fr-FR"/>
        </w:rPr>
      </w:pPr>
      <w:r w:rsidRPr="001221C2">
        <w:rPr>
          <w:b/>
          <w:sz w:val="22"/>
          <w:szCs w:val="22"/>
          <w:lang w:val="fr-FR"/>
        </w:rPr>
        <w:t>Article 10</w:t>
      </w:r>
    </w:p>
    <w:p w14:paraId="3D25857A" w14:textId="77777777" w:rsidR="0077774B" w:rsidRPr="001221C2" w:rsidRDefault="0077774B" w:rsidP="0077774B">
      <w:pPr>
        <w:pStyle w:val="BodyTextIndent"/>
        <w:widowControl/>
        <w:rPr>
          <w:b/>
          <w:bCs/>
          <w:sz w:val="22"/>
          <w:szCs w:val="22"/>
          <w:lang w:val="fr-FR"/>
        </w:rPr>
      </w:pPr>
    </w:p>
    <w:p w14:paraId="637E7A34" w14:textId="77777777" w:rsidR="0077774B" w:rsidRPr="001221C2" w:rsidRDefault="0077774B" w:rsidP="00B65B8E">
      <w:pPr>
        <w:pStyle w:val="BodyTextIndent"/>
        <w:widowControl/>
        <w:ind w:firstLine="720"/>
        <w:rPr>
          <w:sz w:val="22"/>
          <w:szCs w:val="22"/>
          <w:lang w:val="fr-FR"/>
        </w:rPr>
      </w:pPr>
      <w:r w:rsidRPr="001221C2">
        <w:rPr>
          <w:sz w:val="22"/>
          <w:szCs w:val="22"/>
          <w:lang w:val="fr-FR"/>
        </w:rPr>
        <w:t xml:space="preserve">Les projets et propositions soumis par les États parties pour examen à une Conférence sont présentés par écrit au Secrétariat général de l'OEA (SG/OEA) au moins quarante-huit heures avant la date de la réunion respective. </w:t>
      </w:r>
    </w:p>
    <w:p w14:paraId="0623086B" w14:textId="77777777" w:rsidR="0077774B" w:rsidRPr="001221C2" w:rsidRDefault="0077774B" w:rsidP="0077774B">
      <w:pPr>
        <w:pStyle w:val="BodyTextIndent"/>
        <w:widowControl/>
        <w:rPr>
          <w:sz w:val="22"/>
          <w:szCs w:val="22"/>
          <w:lang w:val="fr-FR"/>
        </w:rPr>
      </w:pPr>
    </w:p>
    <w:p w14:paraId="09069717" w14:textId="77777777" w:rsidR="0077774B" w:rsidRPr="001221C2" w:rsidRDefault="0077774B" w:rsidP="00B65B8E">
      <w:pPr>
        <w:pStyle w:val="BodyTextIndent"/>
        <w:widowControl/>
        <w:ind w:firstLine="720"/>
        <w:rPr>
          <w:sz w:val="22"/>
          <w:szCs w:val="22"/>
          <w:lang w:val="fr-FR"/>
        </w:rPr>
      </w:pPr>
      <w:r w:rsidRPr="001221C2">
        <w:rPr>
          <w:sz w:val="22"/>
          <w:szCs w:val="22"/>
          <w:lang w:val="fr-FR"/>
        </w:rPr>
        <w:t>Nonobstant ce qui précède, la Conférence peut autoriser la discussion de projets ou de propositions qui n'ont pas été soumis par écrit dans ce délai.</w:t>
      </w:r>
    </w:p>
    <w:p w14:paraId="5CDEF2E5" w14:textId="65A63295" w:rsidR="0077774B" w:rsidRPr="001221C2" w:rsidRDefault="0077774B" w:rsidP="0077774B">
      <w:pPr>
        <w:rPr>
          <w:sz w:val="22"/>
          <w:szCs w:val="22"/>
          <w:lang w:val="fr-FR"/>
        </w:rPr>
      </w:pPr>
    </w:p>
    <w:p w14:paraId="7019151A" w14:textId="77777777" w:rsidR="0077774B" w:rsidRPr="001221C2" w:rsidRDefault="0077774B" w:rsidP="0077774B">
      <w:pPr>
        <w:pStyle w:val="BodyTextIndent"/>
        <w:widowControl/>
        <w:rPr>
          <w:b/>
          <w:bCs/>
          <w:sz w:val="22"/>
          <w:szCs w:val="22"/>
          <w:lang w:val="fr-FR"/>
        </w:rPr>
      </w:pPr>
      <w:r w:rsidRPr="001221C2">
        <w:rPr>
          <w:b/>
          <w:sz w:val="22"/>
          <w:szCs w:val="22"/>
          <w:lang w:val="fr-FR"/>
        </w:rPr>
        <w:lastRenderedPageBreak/>
        <w:t>Article 11</w:t>
      </w:r>
    </w:p>
    <w:p w14:paraId="0D4B8574" w14:textId="77777777" w:rsidR="0077774B" w:rsidRPr="001221C2" w:rsidRDefault="0077774B" w:rsidP="0077774B">
      <w:pPr>
        <w:pStyle w:val="BodyTextIndent"/>
        <w:widowControl/>
        <w:rPr>
          <w:b/>
          <w:bCs/>
          <w:sz w:val="22"/>
          <w:szCs w:val="22"/>
          <w:lang w:val="fr-FR"/>
        </w:rPr>
      </w:pPr>
    </w:p>
    <w:p w14:paraId="254B621F" w14:textId="77777777" w:rsidR="0077774B" w:rsidRPr="001221C2" w:rsidRDefault="0077774B" w:rsidP="00B65B8E">
      <w:pPr>
        <w:pStyle w:val="BodyTextIndent"/>
        <w:widowControl/>
        <w:ind w:firstLine="720"/>
        <w:rPr>
          <w:sz w:val="22"/>
          <w:szCs w:val="22"/>
          <w:lang w:val="fr-FR"/>
        </w:rPr>
      </w:pPr>
      <w:r w:rsidRPr="001221C2">
        <w:rPr>
          <w:sz w:val="22"/>
          <w:szCs w:val="22"/>
          <w:lang w:val="fr-FR"/>
        </w:rPr>
        <w:t>La Conférence se réunit au siège du SG/OEA à Washington, D.C., à moins qu'un État partie ne propose d'accueillir la Conférence et que les États parties ne soient d'accord.</w:t>
      </w:r>
    </w:p>
    <w:p w14:paraId="580014D4" w14:textId="77777777" w:rsidR="0077774B" w:rsidRPr="001221C2" w:rsidRDefault="0077774B" w:rsidP="0077774B">
      <w:pPr>
        <w:pStyle w:val="BodyTextIndent"/>
        <w:widowControl/>
        <w:rPr>
          <w:sz w:val="22"/>
          <w:szCs w:val="22"/>
          <w:lang w:val="fr-FR"/>
        </w:rPr>
      </w:pPr>
    </w:p>
    <w:p w14:paraId="162BF37E" w14:textId="77777777" w:rsidR="0077774B" w:rsidRPr="001221C2" w:rsidRDefault="0077774B" w:rsidP="0077774B">
      <w:pPr>
        <w:pStyle w:val="BodyTextIndent"/>
        <w:widowControl/>
        <w:rPr>
          <w:b/>
          <w:bCs/>
          <w:sz w:val="22"/>
          <w:szCs w:val="22"/>
          <w:lang w:val="fr-FR"/>
        </w:rPr>
      </w:pPr>
      <w:r w:rsidRPr="001221C2">
        <w:rPr>
          <w:b/>
          <w:sz w:val="22"/>
          <w:szCs w:val="22"/>
          <w:lang w:val="fr-FR"/>
        </w:rPr>
        <w:t>Article 12</w:t>
      </w:r>
    </w:p>
    <w:p w14:paraId="2F28E085" w14:textId="77777777" w:rsidR="0077774B" w:rsidRPr="001221C2" w:rsidRDefault="0077774B" w:rsidP="0077774B">
      <w:pPr>
        <w:pStyle w:val="BodyTextIndent"/>
        <w:widowControl/>
        <w:rPr>
          <w:sz w:val="22"/>
          <w:szCs w:val="22"/>
          <w:lang w:val="fr-FR"/>
        </w:rPr>
      </w:pPr>
    </w:p>
    <w:p w14:paraId="4E3A2D8D" w14:textId="77777777" w:rsidR="0077774B" w:rsidRPr="001221C2" w:rsidRDefault="0077774B" w:rsidP="00B65B8E">
      <w:pPr>
        <w:pStyle w:val="BodyTextIndent"/>
        <w:widowControl/>
        <w:ind w:firstLine="720"/>
        <w:rPr>
          <w:sz w:val="22"/>
          <w:szCs w:val="22"/>
          <w:lang w:val="fr-FR"/>
        </w:rPr>
      </w:pPr>
      <w:r w:rsidRPr="001221C2">
        <w:rPr>
          <w:sz w:val="22"/>
          <w:szCs w:val="22"/>
          <w:lang w:val="fr-FR"/>
        </w:rPr>
        <w:t>Un tiers des États parties constitue le quorum pour la tenue d’une Conférence.</w:t>
      </w:r>
    </w:p>
    <w:p w14:paraId="28F24EE5" w14:textId="77777777" w:rsidR="0077774B" w:rsidRPr="001221C2" w:rsidRDefault="0077774B" w:rsidP="0077774B">
      <w:pPr>
        <w:pStyle w:val="BodyTextIndent"/>
        <w:widowControl/>
        <w:rPr>
          <w:sz w:val="22"/>
          <w:szCs w:val="22"/>
          <w:lang w:val="fr-FR"/>
        </w:rPr>
      </w:pPr>
    </w:p>
    <w:p w14:paraId="72C96468" w14:textId="77777777" w:rsidR="0077774B" w:rsidRPr="001221C2" w:rsidRDefault="0077774B" w:rsidP="0077774B">
      <w:pPr>
        <w:pStyle w:val="BodyTextIndent"/>
        <w:widowControl/>
        <w:rPr>
          <w:b/>
          <w:bCs/>
          <w:sz w:val="22"/>
          <w:szCs w:val="22"/>
          <w:lang w:val="fr-FR"/>
        </w:rPr>
      </w:pPr>
      <w:r w:rsidRPr="001221C2">
        <w:rPr>
          <w:b/>
          <w:sz w:val="22"/>
          <w:szCs w:val="22"/>
          <w:lang w:val="fr-FR"/>
        </w:rPr>
        <w:t>Article 13</w:t>
      </w:r>
    </w:p>
    <w:p w14:paraId="331DD2FB" w14:textId="77777777" w:rsidR="0077774B" w:rsidRPr="001221C2" w:rsidRDefault="0077774B" w:rsidP="0077774B">
      <w:pPr>
        <w:pStyle w:val="BodyTextIndent"/>
        <w:widowControl/>
        <w:rPr>
          <w:sz w:val="22"/>
          <w:szCs w:val="22"/>
          <w:lang w:val="fr-FR"/>
        </w:rPr>
      </w:pPr>
    </w:p>
    <w:p w14:paraId="1A33C1ED" w14:textId="77777777" w:rsidR="0077774B" w:rsidRPr="001221C2" w:rsidRDefault="0077774B" w:rsidP="00B65B8E">
      <w:pPr>
        <w:pStyle w:val="BodyTextIndent"/>
        <w:widowControl/>
        <w:ind w:firstLine="720"/>
        <w:rPr>
          <w:sz w:val="22"/>
          <w:szCs w:val="22"/>
          <w:lang w:val="fr-FR"/>
        </w:rPr>
      </w:pPr>
      <w:r w:rsidRPr="001221C2">
        <w:rPr>
          <w:sz w:val="22"/>
          <w:szCs w:val="22"/>
          <w:lang w:val="fr-FR"/>
        </w:rPr>
        <w:t xml:space="preserve">L'ordre de préséance des délégations des États parties est établi par tirage au sort lors de la réunion préparatoire. À ces fins, l'ordre alphabétique des noms espagnols des États est suivi. </w:t>
      </w:r>
    </w:p>
    <w:p w14:paraId="4EA3534D" w14:textId="77777777" w:rsidR="0077774B" w:rsidRPr="001221C2" w:rsidRDefault="0077774B" w:rsidP="0077774B">
      <w:pPr>
        <w:pStyle w:val="BodyTextIndent"/>
        <w:widowControl/>
        <w:rPr>
          <w:sz w:val="22"/>
          <w:szCs w:val="22"/>
          <w:lang w:val="fr-FR"/>
        </w:rPr>
      </w:pPr>
    </w:p>
    <w:p w14:paraId="6ABF7F45" w14:textId="77777777" w:rsidR="0077774B" w:rsidRPr="001221C2" w:rsidRDefault="0077774B" w:rsidP="0077774B">
      <w:pPr>
        <w:pStyle w:val="BodyTextIndent"/>
        <w:widowControl/>
        <w:rPr>
          <w:b/>
          <w:bCs/>
          <w:sz w:val="22"/>
          <w:szCs w:val="22"/>
          <w:lang w:val="fr-FR"/>
        </w:rPr>
      </w:pPr>
      <w:r w:rsidRPr="001221C2">
        <w:rPr>
          <w:b/>
          <w:sz w:val="22"/>
          <w:szCs w:val="22"/>
          <w:lang w:val="fr-FR"/>
        </w:rPr>
        <w:t>Article 14</w:t>
      </w:r>
    </w:p>
    <w:p w14:paraId="4F827326" w14:textId="77777777" w:rsidR="0077774B" w:rsidRPr="001221C2" w:rsidRDefault="0077774B" w:rsidP="0077774B">
      <w:pPr>
        <w:pStyle w:val="BodyTextIndent"/>
        <w:widowControl/>
        <w:rPr>
          <w:sz w:val="22"/>
          <w:szCs w:val="22"/>
          <w:lang w:val="fr-FR"/>
        </w:rPr>
      </w:pPr>
    </w:p>
    <w:p w14:paraId="5A886706" w14:textId="77777777" w:rsidR="0077774B" w:rsidRPr="001221C2" w:rsidRDefault="0077774B" w:rsidP="00B65B8E">
      <w:pPr>
        <w:pStyle w:val="BodyTextIndent"/>
        <w:widowControl/>
        <w:ind w:firstLine="720"/>
        <w:rPr>
          <w:sz w:val="22"/>
          <w:szCs w:val="22"/>
          <w:shd w:val="clear" w:color="auto" w:fill="00FF00"/>
          <w:lang w:val="fr-FR"/>
        </w:rPr>
      </w:pPr>
      <w:r w:rsidRPr="001221C2">
        <w:rPr>
          <w:sz w:val="22"/>
          <w:szCs w:val="22"/>
          <w:lang w:val="fr-FR"/>
        </w:rPr>
        <w:t xml:space="preserve">Dans les délibérations de la Conférence, chaque État partie dispose d'une voix. Les décisions sont prises à la majorité des États parties présents, sauf dans le cas de l'adoption d'amendements à la Convention, qui requiert l'approbation des deux tiers des États parties présents, comme le prévoit l'article XI de la Convention. </w:t>
      </w:r>
    </w:p>
    <w:p w14:paraId="3DE53270" w14:textId="77777777" w:rsidR="0077774B" w:rsidRPr="001221C2" w:rsidRDefault="0077774B" w:rsidP="0077774B">
      <w:pPr>
        <w:pStyle w:val="BodyTextIndent"/>
        <w:widowControl/>
        <w:rPr>
          <w:sz w:val="22"/>
          <w:szCs w:val="22"/>
          <w:lang w:val="fr-FR"/>
        </w:rPr>
      </w:pPr>
    </w:p>
    <w:p w14:paraId="1CCCC3B0" w14:textId="77777777" w:rsidR="0077774B" w:rsidRPr="001221C2" w:rsidRDefault="0077774B" w:rsidP="0077774B">
      <w:pPr>
        <w:pStyle w:val="BodyText2"/>
        <w:spacing w:after="0" w:line="240" w:lineRule="auto"/>
        <w:jc w:val="both"/>
        <w:rPr>
          <w:b/>
          <w:sz w:val="22"/>
          <w:szCs w:val="22"/>
          <w:lang w:val="fr-FR"/>
        </w:rPr>
      </w:pPr>
      <w:r w:rsidRPr="001221C2">
        <w:rPr>
          <w:b/>
          <w:sz w:val="22"/>
          <w:szCs w:val="22"/>
          <w:lang w:val="fr-FR"/>
        </w:rPr>
        <w:t>Article 15</w:t>
      </w:r>
    </w:p>
    <w:p w14:paraId="767BF7F9" w14:textId="77777777" w:rsidR="0077774B" w:rsidRPr="001221C2" w:rsidRDefault="0077774B" w:rsidP="0077774B">
      <w:pPr>
        <w:pStyle w:val="BodyTextIndent"/>
        <w:widowControl/>
        <w:rPr>
          <w:b/>
          <w:sz w:val="22"/>
          <w:szCs w:val="22"/>
          <w:lang w:val="fr-FR"/>
        </w:rPr>
      </w:pPr>
    </w:p>
    <w:p w14:paraId="0CE4FEC6" w14:textId="77777777" w:rsidR="0077774B" w:rsidRPr="001221C2" w:rsidRDefault="0077774B" w:rsidP="00B65B8E">
      <w:pPr>
        <w:pStyle w:val="BodyTextIndent"/>
        <w:widowControl/>
        <w:ind w:firstLine="720"/>
        <w:rPr>
          <w:sz w:val="22"/>
          <w:szCs w:val="22"/>
          <w:lang w:val="fr-FR"/>
        </w:rPr>
      </w:pPr>
      <w:r w:rsidRPr="001221C2">
        <w:rPr>
          <w:sz w:val="22"/>
          <w:szCs w:val="22"/>
          <w:lang w:val="fr-FR"/>
        </w:rPr>
        <w:t xml:space="preserve">Les États non parties à la Convention qui sont membres de l'OEA peuvent être invités à la Conférence, avec droit de parole mais sans droit de vote. Ils peuvent aussi prendre la parole lorsque le président de la Conférence en décide ainsi. </w:t>
      </w:r>
    </w:p>
    <w:p w14:paraId="480EBA63" w14:textId="77777777" w:rsidR="0077774B" w:rsidRPr="001221C2" w:rsidRDefault="0077774B" w:rsidP="0077774B">
      <w:pPr>
        <w:pStyle w:val="BodyTextIndent"/>
        <w:widowControl/>
        <w:rPr>
          <w:sz w:val="22"/>
          <w:szCs w:val="22"/>
          <w:lang w:val="fr-FR"/>
        </w:rPr>
      </w:pPr>
    </w:p>
    <w:p w14:paraId="7811343D" w14:textId="77777777" w:rsidR="0077774B" w:rsidRPr="001221C2" w:rsidRDefault="0077774B" w:rsidP="0077774B">
      <w:pPr>
        <w:pStyle w:val="BodyTextIndent"/>
        <w:widowControl/>
        <w:rPr>
          <w:b/>
          <w:sz w:val="22"/>
          <w:szCs w:val="22"/>
          <w:lang w:val="fr-FR"/>
        </w:rPr>
      </w:pPr>
      <w:r w:rsidRPr="001221C2">
        <w:rPr>
          <w:b/>
          <w:sz w:val="22"/>
          <w:szCs w:val="22"/>
          <w:lang w:val="fr-FR"/>
        </w:rPr>
        <w:t xml:space="preserve">Article 16 </w:t>
      </w:r>
    </w:p>
    <w:p w14:paraId="470E04EA" w14:textId="77777777" w:rsidR="0077774B" w:rsidRPr="001221C2" w:rsidRDefault="0077774B" w:rsidP="0077774B">
      <w:pPr>
        <w:pStyle w:val="BodyTextIndent"/>
        <w:widowControl/>
        <w:rPr>
          <w:sz w:val="22"/>
          <w:szCs w:val="22"/>
          <w:lang w:val="fr-FR"/>
        </w:rPr>
      </w:pPr>
    </w:p>
    <w:p w14:paraId="7FDF6F7A" w14:textId="77777777" w:rsidR="0077774B" w:rsidRPr="001221C2" w:rsidRDefault="0077774B" w:rsidP="00B65B8E">
      <w:pPr>
        <w:pStyle w:val="BodyTextIndent"/>
        <w:widowControl/>
        <w:ind w:firstLine="720"/>
        <w:rPr>
          <w:b/>
          <w:sz w:val="22"/>
          <w:szCs w:val="22"/>
          <w:lang w:val="fr-FR"/>
        </w:rPr>
      </w:pPr>
      <w:r w:rsidRPr="001221C2">
        <w:rPr>
          <w:sz w:val="22"/>
          <w:szCs w:val="22"/>
          <w:lang w:val="fr-FR"/>
        </w:rPr>
        <w:t xml:space="preserve">Les États observateurs permanents près l’OEA peuvent être invités à participer à la Conférence et peuvent demander à prendre la parole ; le président statue sur cette demande. </w:t>
      </w:r>
    </w:p>
    <w:p w14:paraId="39C49FCB" w14:textId="77777777" w:rsidR="0077774B" w:rsidRPr="001221C2" w:rsidRDefault="0077774B" w:rsidP="0077774B">
      <w:pPr>
        <w:pStyle w:val="BodyTextIndent"/>
        <w:widowControl/>
        <w:rPr>
          <w:b/>
          <w:sz w:val="22"/>
          <w:szCs w:val="22"/>
          <w:lang w:val="fr-FR"/>
        </w:rPr>
      </w:pPr>
    </w:p>
    <w:p w14:paraId="47330DFB" w14:textId="77777777" w:rsidR="0077774B" w:rsidRPr="001221C2" w:rsidRDefault="0077774B" w:rsidP="0077774B">
      <w:pPr>
        <w:pStyle w:val="BodyTextIndent"/>
        <w:widowControl/>
        <w:rPr>
          <w:b/>
          <w:sz w:val="22"/>
          <w:szCs w:val="22"/>
          <w:lang w:val="fr-FR"/>
        </w:rPr>
      </w:pPr>
      <w:r w:rsidRPr="001221C2">
        <w:rPr>
          <w:b/>
          <w:sz w:val="22"/>
          <w:szCs w:val="22"/>
          <w:lang w:val="fr-FR"/>
        </w:rPr>
        <w:t>Article 17</w:t>
      </w:r>
    </w:p>
    <w:p w14:paraId="0CAC2ADB" w14:textId="77777777" w:rsidR="0077774B" w:rsidRPr="001221C2" w:rsidRDefault="0077774B" w:rsidP="0077774B">
      <w:pPr>
        <w:pStyle w:val="BodyTextIndent"/>
        <w:widowControl/>
        <w:rPr>
          <w:b/>
          <w:sz w:val="22"/>
          <w:szCs w:val="22"/>
          <w:lang w:val="fr-FR"/>
        </w:rPr>
      </w:pPr>
    </w:p>
    <w:p w14:paraId="43F4D0C6" w14:textId="77777777" w:rsidR="0077774B" w:rsidRPr="001221C2" w:rsidRDefault="0077774B" w:rsidP="00B65B8E">
      <w:pPr>
        <w:pStyle w:val="BodyTextIndent"/>
        <w:widowControl/>
        <w:ind w:firstLine="720"/>
        <w:rPr>
          <w:sz w:val="22"/>
          <w:szCs w:val="22"/>
          <w:lang w:val="fr-FR"/>
        </w:rPr>
      </w:pPr>
      <w:r w:rsidRPr="001221C2">
        <w:rPr>
          <w:sz w:val="22"/>
          <w:szCs w:val="22"/>
          <w:lang w:val="fr-FR"/>
        </w:rPr>
        <w:t xml:space="preserve">Les organes et organismes internationaux jugés pertinents peuvent également être invités à la Conférence et peuvent prendre la parole selon les modalités fixées par le président de la Conférence. </w:t>
      </w:r>
    </w:p>
    <w:p w14:paraId="21FA2522" w14:textId="77777777" w:rsidR="0077774B" w:rsidRPr="001221C2" w:rsidRDefault="0077774B" w:rsidP="0077774B">
      <w:pPr>
        <w:pStyle w:val="BodyTextIndent"/>
        <w:widowControl/>
        <w:rPr>
          <w:sz w:val="22"/>
          <w:szCs w:val="22"/>
          <w:lang w:val="fr-FR"/>
        </w:rPr>
      </w:pPr>
    </w:p>
    <w:p w14:paraId="146F3DBB" w14:textId="77777777" w:rsidR="0077774B" w:rsidRPr="001221C2" w:rsidRDefault="0077774B" w:rsidP="0077774B">
      <w:pPr>
        <w:pStyle w:val="BodyTextIndent"/>
        <w:widowControl/>
        <w:rPr>
          <w:b/>
          <w:sz w:val="22"/>
          <w:szCs w:val="22"/>
          <w:lang w:val="fr-FR"/>
        </w:rPr>
      </w:pPr>
      <w:r w:rsidRPr="001221C2">
        <w:rPr>
          <w:b/>
          <w:sz w:val="22"/>
          <w:szCs w:val="22"/>
          <w:lang w:val="fr-FR"/>
        </w:rPr>
        <w:t xml:space="preserve">Article 18 </w:t>
      </w:r>
    </w:p>
    <w:p w14:paraId="0A9FE124" w14:textId="77777777" w:rsidR="0077774B" w:rsidRPr="001221C2" w:rsidRDefault="0077774B" w:rsidP="0077774B">
      <w:pPr>
        <w:pStyle w:val="BodyTextIndent"/>
        <w:widowControl/>
        <w:rPr>
          <w:sz w:val="22"/>
          <w:szCs w:val="22"/>
          <w:lang w:val="fr-FR"/>
        </w:rPr>
      </w:pPr>
    </w:p>
    <w:p w14:paraId="328CCA04" w14:textId="77777777" w:rsidR="0077774B" w:rsidRPr="001221C2" w:rsidRDefault="0077774B" w:rsidP="00B65B8E">
      <w:pPr>
        <w:pStyle w:val="BodyTextIndent"/>
        <w:widowControl/>
        <w:ind w:firstLine="720"/>
        <w:rPr>
          <w:sz w:val="22"/>
          <w:szCs w:val="22"/>
          <w:lang w:val="fr-FR"/>
        </w:rPr>
      </w:pPr>
      <w:r w:rsidRPr="001221C2">
        <w:rPr>
          <w:sz w:val="22"/>
          <w:szCs w:val="22"/>
          <w:lang w:val="fr-FR"/>
        </w:rPr>
        <w:t>Au cas où leur participation serait jugée opportune aux fins de la Conférence, des représentants d’organisations de la société civile concernées par les thèmes de la Convention peuvent être invités, conformément aux Directives pour la participation des institutions de la société civile aux activités l’OEA et aux Stratégies pour la mise en œuvre et le renforcement de la participation des organisations de la société civile aux activités de l’OEA qui ont été approuvées par le Conseil permanent de l'OEA.</w:t>
      </w:r>
    </w:p>
    <w:p w14:paraId="5E2ECE2C" w14:textId="77777777" w:rsidR="0077774B" w:rsidRPr="001221C2" w:rsidRDefault="0077774B" w:rsidP="0077774B">
      <w:pPr>
        <w:pStyle w:val="BodyTextIndent"/>
        <w:widowControl/>
        <w:rPr>
          <w:b/>
          <w:bCs/>
          <w:sz w:val="22"/>
          <w:szCs w:val="22"/>
          <w:lang w:val="fr-FR"/>
        </w:rPr>
      </w:pPr>
    </w:p>
    <w:p w14:paraId="44A85C34" w14:textId="77777777" w:rsidR="0077774B" w:rsidRPr="001221C2" w:rsidRDefault="0077774B" w:rsidP="0077774B">
      <w:pPr>
        <w:pStyle w:val="BodyTextIndent"/>
        <w:widowControl/>
        <w:rPr>
          <w:sz w:val="22"/>
          <w:szCs w:val="22"/>
          <w:lang w:val="fr-FR"/>
        </w:rPr>
      </w:pPr>
      <w:r w:rsidRPr="001221C2">
        <w:rPr>
          <w:b/>
          <w:sz w:val="22"/>
          <w:szCs w:val="22"/>
          <w:lang w:val="fr-FR"/>
        </w:rPr>
        <w:t>Article 19</w:t>
      </w:r>
    </w:p>
    <w:p w14:paraId="09E61827" w14:textId="77777777" w:rsidR="0077774B" w:rsidRPr="001221C2" w:rsidRDefault="0077774B" w:rsidP="0077774B">
      <w:pPr>
        <w:pStyle w:val="BodyTextIndent"/>
        <w:widowControl/>
        <w:rPr>
          <w:sz w:val="22"/>
          <w:szCs w:val="22"/>
          <w:lang w:val="fr-FR"/>
        </w:rPr>
      </w:pPr>
    </w:p>
    <w:p w14:paraId="5B393ACD" w14:textId="77777777" w:rsidR="0077774B" w:rsidRPr="001221C2" w:rsidRDefault="0077774B" w:rsidP="00B65B8E">
      <w:pPr>
        <w:pStyle w:val="BodyTextIndent"/>
        <w:widowControl/>
        <w:ind w:firstLine="720"/>
        <w:rPr>
          <w:sz w:val="22"/>
          <w:szCs w:val="22"/>
          <w:lang w:val="fr-FR"/>
        </w:rPr>
      </w:pPr>
      <w:r w:rsidRPr="001221C2">
        <w:rPr>
          <w:sz w:val="22"/>
          <w:szCs w:val="22"/>
          <w:lang w:val="fr-FR"/>
        </w:rPr>
        <w:t>Les langues de travail de la Conférence sont les langues officielles de l'OEA.</w:t>
      </w:r>
    </w:p>
    <w:p w14:paraId="3D91B1E0" w14:textId="77777777" w:rsidR="0077774B" w:rsidRPr="001221C2" w:rsidRDefault="0077774B" w:rsidP="0077774B">
      <w:pPr>
        <w:pStyle w:val="BodyTextIndent"/>
        <w:widowControl/>
        <w:rPr>
          <w:sz w:val="22"/>
          <w:szCs w:val="22"/>
          <w:lang w:val="fr-FR"/>
        </w:rPr>
      </w:pPr>
    </w:p>
    <w:p w14:paraId="1961AB54" w14:textId="77777777" w:rsidR="0077774B" w:rsidRPr="001221C2" w:rsidRDefault="0077774B" w:rsidP="0077774B">
      <w:pPr>
        <w:pStyle w:val="BodyTextIndent"/>
        <w:widowControl/>
        <w:rPr>
          <w:sz w:val="22"/>
          <w:szCs w:val="22"/>
          <w:lang w:val="fr-FR"/>
        </w:rPr>
      </w:pPr>
    </w:p>
    <w:p w14:paraId="52F67DE5" w14:textId="77777777" w:rsidR="0077774B" w:rsidRPr="001221C2" w:rsidRDefault="0077774B" w:rsidP="0077774B">
      <w:pPr>
        <w:pStyle w:val="BodyTextIndent"/>
        <w:widowControl/>
        <w:jc w:val="center"/>
        <w:rPr>
          <w:sz w:val="22"/>
          <w:szCs w:val="22"/>
          <w:lang w:val="fr-FR"/>
        </w:rPr>
      </w:pPr>
      <w:r w:rsidRPr="001221C2">
        <w:rPr>
          <w:sz w:val="22"/>
          <w:szCs w:val="22"/>
          <w:lang w:val="fr-FR"/>
        </w:rPr>
        <w:t>CHAPITRE V</w:t>
      </w:r>
    </w:p>
    <w:p w14:paraId="5548A5DD" w14:textId="77777777" w:rsidR="0077774B" w:rsidRPr="001221C2" w:rsidRDefault="0077774B" w:rsidP="0077774B">
      <w:pPr>
        <w:pStyle w:val="BodyTextIndent"/>
        <w:widowControl/>
        <w:jc w:val="center"/>
        <w:rPr>
          <w:sz w:val="22"/>
          <w:szCs w:val="22"/>
          <w:lang w:val="fr-FR"/>
        </w:rPr>
      </w:pPr>
      <w:r w:rsidRPr="001221C2">
        <w:rPr>
          <w:sz w:val="22"/>
          <w:szCs w:val="22"/>
          <w:lang w:val="fr-FR"/>
        </w:rPr>
        <w:t>COMITÉ CONSULTATIF</w:t>
      </w:r>
    </w:p>
    <w:p w14:paraId="5F0FE9CC" w14:textId="77777777" w:rsidR="0077774B" w:rsidRPr="001221C2" w:rsidRDefault="0077774B" w:rsidP="0077774B">
      <w:pPr>
        <w:pStyle w:val="BodyTextIndent"/>
        <w:widowControl/>
        <w:rPr>
          <w:sz w:val="22"/>
          <w:szCs w:val="22"/>
          <w:lang w:val="fr-FR"/>
        </w:rPr>
      </w:pPr>
    </w:p>
    <w:p w14:paraId="00892123" w14:textId="77777777" w:rsidR="0077774B" w:rsidRPr="001221C2" w:rsidRDefault="0077774B" w:rsidP="0077774B">
      <w:pPr>
        <w:pStyle w:val="BodyTextIndent"/>
        <w:widowControl/>
        <w:rPr>
          <w:b/>
          <w:sz w:val="22"/>
          <w:szCs w:val="22"/>
          <w:lang w:val="fr-FR"/>
        </w:rPr>
      </w:pPr>
      <w:r w:rsidRPr="001221C2">
        <w:rPr>
          <w:b/>
          <w:sz w:val="22"/>
          <w:szCs w:val="22"/>
          <w:lang w:val="fr-FR"/>
        </w:rPr>
        <w:t>Article 20</w:t>
      </w:r>
    </w:p>
    <w:p w14:paraId="27C8F004" w14:textId="77777777" w:rsidR="0077774B" w:rsidRPr="001221C2" w:rsidRDefault="0077774B" w:rsidP="0077774B">
      <w:pPr>
        <w:pStyle w:val="BodyTextIndent"/>
        <w:widowControl/>
        <w:rPr>
          <w:sz w:val="22"/>
          <w:szCs w:val="22"/>
          <w:lang w:val="fr-FR"/>
        </w:rPr>
      </w:pPr>
    </w:p>
    <w:p w14:paraId="62AC9B0D" w14:textId="77777777" w:rsidR="0077774B" w:rsidRPr="001221C2" w:rsidRDefault="0077774B" w:rsidP="00B65B8E">
      <w:pPr>
        <w:pStyle w:val="BodyTextIndent"/>
        <w:widowControl/>
        <w:ind w:firstLine="720"/>
        <w:rPr>
          <w:sz w:val="22"/>
          <w:szCs w:val="22"/>
          <w:lang w:val="fr-FR"/>
        </w:rPr>
      </w:pPr>
      <w:r w:rsidRPr="001221C2">
        <w:rPr>
          <w:sz w:val="22"/>
          <w:szCs w:val="22"/>
          <w:lang w:val="fr-FR"/>
        </w:rPr>
        <w:t xml:space="preserve">Afin d’atteindre les objectifs de la Convention et de promouvoir la coopération et les activités continues des États parties, il est créé un Comité consultatif dont les décisions ont un caractère de recommandation et sont validées par la Conférence. </w:t>
      </w:r>
    </w:p>
    <w:p w14:paraId="12C51FA6" w14:textId="77777777" w:rsidR="0077774B" w:rsidRPr="001221C2" w:rsidRDefault="0077774B" w:rsidP="0077774B">
      <w:pPr>
        <w:tabs>
          <w:tab w:val="left" w:pos="-720"/>
        </w:tabs>
        <w:jc w:val="both"/>
        <w:rPr>
          <w:sz w:val="22"/>
          <w:szCs w:val="22"/>
          <w:lang w:val="fr-FR"/>
        </w:rPr>
      </w:pPr>
    </w:p>
    <w:p w14:paraId="2F5BDDE6" w14:textId="77777777" w:rsidR="0077774B" w:rsidRPr="001221C2" w:rsidRDefault="0077774B" w:rsidP="0077774B">
      <w:pPr>
        <w:pStyle w:val="BodyTextIndent"/>
        <w:widowControl/>
        <w:rPr>
          <w:b/>
          <w:sz w:val="22"/>
          <w:szCs w:val="22"/>
          <w:lang w:val="fr-FR"/>
        </w:rPr>
      </w:pPr>
      <w:r w:rsidRPr="001221C2">
        <w:rPr>
          <w:b/>
          <w:sz w:val="22"/>
          <w:szCs w:val="22"/>
          <w:lang w:val="fr-FR"/>
        </w:rPr>
        <w:t>Article 21</w:t>
      </w:r>
    </w:p>
    <w:p w14:paraId="725C9C0A" w14:textId="77777777" w:rsidR="0077774B" w:rsidRPr="001221C2" w:rsidRDefault="0077774B" w:rsidP="0077774B">
      <w:pPr>
        <w:tabs>
          <w:tab w:val="left" w:pos="-720"/>
        </w:tabs>
        <w:jc w:val="both"/>
        <w:rPr>
          <w:sz w:val="22"/>
          <w:szCs w:val="22"/>
          <w:lang w:val="fr-FR"/>
        </w:rPr>
      </w:pPr>
    </w:p>
    <w:p w14:paraId="65DB2384" w14:textId="77777777" w:rsidR="0077774B" w:rsidRPr="001221C2" w:rsidRDefault="0077774B" w:rsidP="00B65B8E">
      <w:pPr>
        <w:pStyle w:val="BodyTextIndent"/>
        <w:widowControl/>
        <w:ind w:firstLine="720"/>
        <w:rPr>
          <w:spacing w:val="-2"/>
          <w:sz w:val="22"/>
          <w:szCs w:val="22"/>
          <w:lang w:val="fr-FR"/>
        </w:rPr>
      </w:pPr>
      <w:r w:rsidRPr="001221C2">
        <w:rPr>
          <w:sz w:val="22"/>
          <w:szCs w:val="22"/>
          <w:lang w:val="fr-FR"/>
        </w:rPr>
        <w:t>Les attributions du Comité consultatif sont les suivantes :</w:t>
      </w:r>
    </w:p>
    <w:p w14:paraId="22EE70C5" w14:textId="77777777" w:rsidR="0077774B" w:rsidRPr="001221C2" w:rsidRDefault="0077774B" w:rsidP="0077774B">
      <w:pPr>
        <w:tabs>
          <w:tab w:val="left" w:pos="-720"/>
        </w:tabs>
        <w:jc w:val="both"/>
        <w:rPr>
          <w:spacing w:val="-2"/>
          <w:sz w:val="22"/>
          <w:szCs w:val="22"/>
          <w:lang w:val="fr-FR"/>
        </w:rPr>
      </w:pPr>
    </w:p>
    <w:p w14:paraId="30690C09" w14:textId="77777777" w:rsidR="0077774B" w:rsidRPr="001221C2" w:rsidRDefault="0077774B" w:rsidP="0077774B">
      <w:pPr>
        <w:widowControl/>
        <w:numPr>
          <w:ilvl w:val="0"/>
          <w:numId w:val="27"/>
        </w:numPr>
        <w:tabs>
          <w:tab w:val="left" w:pos="-720"/>
        </w:tabs>
        <w:autoSpaceDE/>
        <w:autoSpaceDN/>
        <w:adjustRightInd/>
        <w:ind w:left="1440" w:hanging="720"/>
        <w:jc w:val="both"/>
        <w:rPr>
          <w:spacing w:val="-2"/>
          <w:sz w:val="22"/>
          <w:szCs w:val="22"/>
          <w:lang w:val="fr-FR"/>
        </w:rPr>
      </w:pPr>
      <w:r w:rsidRPr="001221C2">
        <w:rPr>
          <w:sz w:val="22"/>
          <w:szCs w:val="22"/>
          <w:lang w:val="fr-FR"/>
        </w:rPr>
        <w:t xml:space="preserve">Promouvoir le respect par les États parties de leurs obligations au titre des articles III, IV et V de la Convention ; </w:t>
      </w:r>
    </w:p>
    <w:p w14:paraId="48FF8046" w14:textId="77777777" w:rsidR="0077774B" w:rsidRPr="001221C2" w:rsidRDefault="0077774B" w:rsidP="00B65B8E">
      <w:pPr>
        <w:tabs>
          <w:tab w:val="left" w:pos="-720"/>
        </w:tabs>
        <w:jc w:val="both"/>
        <w:rPr>
          <w:spacing w:val="-2"/>
          <w:sz w:val="22"/>
          <w:szCs w:val="22"/>
          <w:lang w:val="fr-FR"/>
        </w:rPr>
      </w:pPr>
    </w:p>
    <w:p w14:paraId="0CE8D074" w14:textId="77777777" w:rsidR="0077774B" w:rsidRPr="001221C2" w:rsidRDefault="0077774B" w:rsidP="0077774B">
      <w:pPr>
        <w:widowControl/>
        <w:numPr>
          <w:ilvl w:val="0"/>
          <w:numId w:val="27"/>
        </w:numPr>
        <w:tabs>
          <w:tab w:val="left" w:pos="-720"/>
        </w:tabs>
        <w:autoSpaceDE/>
        <w:autoSpaceDN/>
        <w:adjustRightInd/>
        <w:ind w:left="1440" w:hanging="720"/>
        <w:jc w:val="both"/>
        <w:rPr>
          <w:spacing w:val="-2"/>
          <w:sz w:val="22"/>
          <w:szCs w:val="22"/>
          <w:lang w:val="fr-FR"/>
        </w:rPr>
      </w:pPr>
      <w:r w:rsidRPr="001221C2">
        <w:rPr>
          <w:sz w:val="22"/>
          <w:szCs w:val="22"/>
          <w:lang w:val="fr-FR"/>
        </w:rPr>
        <w:t>Soutenir le SG/OEA, en sa qualité de secrétariat technique et administratif de la Convention, dans la réception, la compilation, l'analyse et la distribution aux États parties de toute information soumise conformément aux articles III, IV et V de la Convention ;</w:t>
      </w:r>
    </w:p>
    <w:p w14:paraId="5A91AF81" w14:textId="77777777" w:rsidR="0077774B" w:rsidRPr="001221C2" w:rsidRDefault="0077774B" w:rsidP="00B65B8E">
      <w:pPr>
        <w:tabs>
          <w:tab w:val="left" w:pos="-720"/>
        </w:tabs>
        <w:jc w:val="both"/>
        <w:rPr>
          <w:spacing w:val="-2"/>
          <w:sz w:val="22"/>
          <w:szCs w:val="22"/>
          <w:lang w:val="fr-FR"/>
        </w:rPr>
      </w:pPr>
    </w:p>
    <w:p w14:paraId="2206DF00" w14:textId="77777777" w:rsidR="0077774B" w:rsidRPr="001221C2" w:rsidRDefault="0077774B" w:rsidP="0077774B">
      <w:pPr>
        <w:widowControl/>
        <w:numPr>
          <w:ilvl w:val="0"/>
          <w:numId w:val="27"/>
        </w:numPr>
        <w:tabs>
          <w:tab w:val="left" w:pos="-720"/>
        </w:tabs>
        <w:autoSpaceDE/>
        <w:autoSpaceDN/>
        <w:adjustRightInd/>
        <w:ind w:left="1440" w:hanging="720"/>
        <w:jc w:val="both"/>
        <w:rPr>
          <w:spacing w:val="-2"/>
          <w:sz w:val="22"/>
          <w:szCs w:val="22"/>
          <w:lang w:val="fr-FR"/>
        </w:rPr>
      </w:pPr>
      <w:r w:rsidRPr="001221C2">
        <w:rPr>
          <w:sz w:val="22"/>
          <w:szCs w:val="22"/>
          <w:lang w:val="fr-FR"/>
        </w:rPr>
        <w:t>Fournir les informations nécessaires à la mise à jour de la liste des points de contact des États parties ;</w:t>
      </w:r>
    </w:p>
    <w:p w14:paraId="7CA5D57E" w14:textId="77777777" w:rsidR="0077774B" w:rsidRPr="001221C2" w:rsidRDefault="0077774B" w:rsidP="00B65B8E">
      <w:pPr>
        <w:tabs>
          <w:tab w:val="left" w:pos="-720"/>
        </w:tabs>
        <w:jc w:val="both"/>
        <w:rPr>
          <w:spacing w:val="-2"/>
          <w:sz w:val="22"/>
          <w:szCs w:val="22"/>
          <w:lang w:val="fr-FR"/>
        </w:rPr>
      </w:pPr>
    </w:p>
    <w:p w14:paraId="00FC4275" w14:textId="77777777" w:rsidR="0077774B" w:rsidRPr="001221C2" w:rsidRDefault="0077774B" w:rsidP="0077774B">
      <w:pPr>
        <w:widowControl/>
        <w:numPr>
          <w:ilvl w:val="0"/>
          <w:numId w:val="27"/>
        </w:numPr>
        <w:tabs>
          <w:tab w:val="left" w:pos="-720"/>
        </w:tabs>
        <w:autoSpaceDE/>
        <w:autoSpaceDN/>
        <w:adjustRightInd/>
        <w:ind w:left="1440" w:hanging="720"/>
        <w:jc w:val="both"/>
        <w:rPr>
          <w:spacing w:val="-2"/>
          <w:sz w:val="22"/>
          <w:szCs w:val="22"/>
          <w:lang w:val="fr-FR"/>
        </w:rPr>
      </w:pPr>
      <w:r w:rsidRPr="001221C2">
        <w:rPr>
          <w:sz w:val="22"/>
          <w:szCs w:val="22"/>
          <w:lang w:val="fr-FR"/>
        </w:rPr>
        <w:t>Promouvoir l’échange d’informations visées par la Convention ;</w:t>
      </w:r>
    </w:p>
    <w:p w14:paraId="688E2365" w14:textId="77777777" w:rsidR="0077774B" w:rsidRPr="001221C2" w:rsidRDefault="0077774B" w:rsidP="00B65B8E">
      <w:pPr>
        <w:tabs>
          <w:tab w:val="left" w:pos="-720"/>
        </w:tabs>
        <w:jc w:val="both"/>
        <w:rPr>
          <w:spacing w:val="-2"/>
          <w:sz w:val="22"/>
          <w:szCs w:val="22"/>
          <w:lang w:val="fr-FR"/>
        </w:rPr>
      </w:pPr>
    </w:p>
    <w:p w14:paraId="2FF0CFEE" w14:textId="77777777" w:rsidR="0077774B" w:rsidRPr="001221C2" w:rsidRDefault="0077774B" w:rsidP="0077774B">
      <w:pPr>
        <w:widowControl/>
        <w:numPr>
          <w:ilvl w:val="0"/>
          <w:numId w:val="27"/>
        </w:numPr>
        <w:tabs>
          <w:tab w:val="left" w:pos="-720"/>
        </w:tabs>
        <w:autoSpaceDE/>
        <w:autoSpaceDN/>
        <w:adjustRightInd/>
        <w:ind w:left="1440" w:hanging="720"/>
        <w:jc w:val="both"/>
        <w:rPr>
          <w:spacing w:val="-2"/>
          <w:sz w:val="22"/>
          <w:szCs w:val="22"/>
          <w:lang w:val="fr-FR"/>
        </w:rPr>
      </w:pPr>
      <w:r w:rsidRPr="001221C2">
        <w:rPr>
          <w:sz w:val="22"/>
          <w:szCs w:val="22"/>
          <w:lang w:val="fr-FR"/>
        </w:rPr>
        <w:t>Faciliter l’échange d’informations sur la législation nationale et les procédures administratives des États parties à la Convention ;</w:t>
      </w:r>
    </w:p>
    <w:p w14:paraId="4465B487" w14:textId="77777777" w:rsidR="0077774B" w:rsidRPr="001221C2" w:rsidRDefault="0077774B" w:rsidP="00B65B8E">
      <w:pPr>
        <w:tabs>
          <w:tab w:val="left" w:pos="-720"/>
        </w:tabs>
        <w:jc w:val="both"/>
        <w:rPr>
          <w:spacing w:val="-2"/>
          <w:sz w:val="22"/>
          <w:szCs w:val="22"/>
          <w:lang w:val="fr-FR"/>
        </w:rPr>
      </w:pPr>
    </w:p>
    <w:p w14:paraId="0CCB7B6F" w14:textId="77777777" w:rsidR="0077774B" w:rsidRPr="001221C2" w:rsidRDefault="0077774B" w:rsidP="0077774B">
      <w:pPr>
        <w:widowControl/>
        <w:numPr>
          <w:ilvl w:val="0"/>
          <w:numId w:val="27"/>
        </w:numPr>
        <w:tabs>
          <w:tab w:val="left" w:pos="-720"/>
        </w:tabs>
        <w:autoSpaceDE/>
        <w:autoSpaceDN/>
        <w:adjustRightInd/>
        <w:ind w:left="1440" w:hanging="720"/>
        <w:jc w:val="both"/>
        <w:rPr>
          <w:spacing w:val="-2"/>
          <w:sz w:val="22"/>
          <w:szCs w:val="22"/>
          <w:lang w:val="fr-FR"/>
        </w:rPr>
      </w:pPr>
      <w:r w:rsidRPr="001221C2">
        <w:rPr>
          <w:sz w:val="22"/>
          <w:szCs w:val="22"/>
          <w:lang w:val="fr-FR"/>
        </w:rPr>
        <w:t>Promouvoir la formation, l’échange de connaissances et d’expériences de même que l’assistance technique entre les États parties à la Convention et les organisations internationales compétentes, ainsi que les études universitaires ;</w:t>
      </w:r>
    </w:p>
    <w:p w14:paraId="754B0360" w14:textId="77777777" w:rsidR="0077774B" w:rsidRPr="001221C2" w:rsidRDefault="0077774B" w:rsidP="00B65B8E">
      <w:pPr>
        <w:tabs>
          <w:tab w:val="left" w:pos="-720"/>
        </w:tabs>
        <w:jc w:val="both"/>
        <w:rPr>
          <w:spacing w:val="-2"/>
          <w:sz w:val="22"/>
          <w:szCs w:val="22"/>
          <w:lang w:val="fr-FR"/>
        </w:rPr>
      </w:pPr>
    </w:p>
    <w:p w14:paraId="59CD609A" w14:textId="77777777" w:rsidR="0077774B" w:rsidRPr="001221C2" w:rsidRDefault="0077774B" w:rsidP="0077774B">
      <w:pPr>
        <w:widowControl/>
        <w:numPr>
          <w:ilvl w:val="0"/>
          <w:numId w:val="27"/>
        </w:numPr>
        <w:tabs>
          <w:tab w:val="left" w:pos="-720"/>
        </w:tabs>
        <w:autoSpaceDE/>
        <w:autoSpaceDN/>
        <w:adjustRightInd/>
        <w:ind w:left="1440" w:hanging="720"/>
        <w:jc w:val="both"/>
        <w:rPr>
          <w:spacing w:val="-2"/>
          <w:sz w:val="22"/>
          <w:szCs w:val="22"/>
          <w:lang w:val="fr-FR"/>
        </w:rPr>
      </w:pPr>
      <w:r w:rsidRPr="001221C2">
        <w:rPr>
          <w:sz w:val="22"/>
          <w:szCs w:val="22"/>
          <w:lang w:val="fr-FR"/>
        </w:rPr>
        <w:t xml:space="preserve">Demander aux autres États non parties à la Convention, le cas échéant, des informations sur les exportations d’armes classiques vers les États parties, conformément à l’article V de la Convention ; </w:t>
      </w:r>
    </w:p>
    <w:p w14:paraId="36FFCEFC" w14:textId="77777777" w:rsidR="0077774B" w:rsidRPr="001221C2" w:rsidRDefault="0077774B" w:rsidP="00B65B8E">
      <w:pPr>
        <w:tabs>
          <w:tab w:val="left" w:pos="-720"/>
        </w:tabs>
        <w:jc w:val="both"/>
        <w:rPr>
          <w:spacing w:val="-2"/>
          <w:sz w:val="22"/>
          <w:szCs w:val="22"/>
          <w:lang w:val="fr-FR"/>
        </w:rPr>
      </w:pPr>
    </w:p>
    <w:p w14:paraId="0EB467A0" w14:textId="77777777" w:rsidR="0077774B" w:rsidRPr="001221C2" w:rsidRDefault="0077774B" w:rsidP="0077774B">
      <w:pPr>
        <w:widowControl/>
        <w:numPr>
          <w:ilvl w:val="0"/>
          <w:numId w:val="27"/>
        </w:numPr>
        <w:tabs>
          <w:tab w:val="left" w:pos="-720"/>
        </w:tabs>
        <w:autoSpaceDE/>
        <w:autoSpaceDN/>
        <w:adjustRightInd/>
        <w:ind w:left="1440" w:hanging="720"/>
        <w:jc w:val="both"/>
        <w:rPr>
          <w:spacing w:val="-2"/>
          <w:sz w:val="22"/>
          <w:szCs w:val="22"/>
          <w:lang w:val="fr-FR"/>
        </w:rPr>
      </w:pPr>
      <w:r w:rsidRPr="001221C2">
        <w:rPr>
          <w:sz w:val="22"/>
          <w:szCs w:val="22"/>
          <w:lang w:val="fr-FR"/>
        </w:rPr>
        <w:t xml:space="preserve">Promouvoir l’universalisation de la Convention au moyen de l’adhésion et de la ratification de la Convention par les États membres de l'OEA qui n'y sont pas parties ; </w:t>
      </w:r>
    </w:p>
    <w:p w14:paraId="39F822F1" w14:textId="77777777" w:rsidR="0077774B" w:rsidRPr="001221C2" w:rsidRDefault="0077774B" w:rsidP="0077774B">
      <w:pPr>
        <w:tabs>
          <w:tab w:val="left" w:pos="-720"/>
        </w:tabs>
        <w:jc w:val="both"/>
        <w:rPr>
          <w:spacing w:val="-2"/>
          <w:sz w:val="22"/>
          <w:szCs w:val="22"/>
          <w:lang w:val="fr-FR"/>
        </w:rPr>
      </w:pPr>
    </w:p>
    <w:p w14:paraId="7F614BC4" w14:textId="77777777" w:rsidR="0077774B" w:rsidRPr="001221C2" w:rsidRDefault="0077774B" w:rsidP="0077774B">
      <w:pPr>
        <w:widowControl/>
        <w:numPr>
          <w:ilvl w:val="0"/>
          <w:numId w:val="27"/>
        </w:numPr>
        <w:tabs>
          <w:tab w:val="left" w:pos="-720"/>
        </w:tabs>
        <w:autoSpaceDE/>
        <w:autoSpaceDN/>
        <w:adjustRightInd/>
        <w:ind w:left="1440" w:hanging="720"/>
        <w:jc w:val="both"/>
        <w:rPr>
          <w:spacing w:val="-2"/>
          <w:sz w:val="22"/>
          <w:szCs w:val="22"/>
          <w:lang w:val="fr-FR"/>
        </w:rPr>
      </w:pPr>
      <w:r w:rsidRPr="001221C2">
        <w:rPr>
          <w:sz w:val="22"/>
          <w:szCs w:val="22"/>
          <w:lang w:val="fr-FR"/>
        </w:rPr>
        <w:t>Analyser les mesures visant à promouvoir l’intégration de la Convention avec d’autres instruments régionaux et internationaux ayant des objectifs complémentaires à ceux de la Convention tels que la Convention interaméricaine contre la fabrication et le trafic illicites d’armes à feu, de munitions, d’explosifs et d’autres matériels connexes (CIFTA) et le Registre des armes classiques de l’ONU ;</w:t>
      </w:r>
    </w:p>
    <w:p w14:paraId="52A4A4B3" w14:textId="77777777" w:rsidR="0077774B" w:rsidRPr="001221C2" w:rsidRDefault="0077774B" w:rsidP="00B65B8E">
      <w:pPr>
        <w:tabs>
          <w:tab w:val="left" w:pos="-720"/>
        </w:tabs>
        <w:jc w:val="both"/>
        <w:rPr>
          <w:spacing w:val="-2"/>
          <w:sz w:val="22"/>
          <w:szCs w:val="22"/>
          <w:lang w:val="fr-FR"/>
        </w:rPr>
      </w:pPr>
    </w:p>
    <w:p w14:paraId="114F42AB" w14:textId="77777777" w:rsidR="0077774B" w:rsidRPr="001221C2" w:rsidRDefault="0077774B" w:rsidP="0077774B">
      <w:pPr>
        <w:widowControl/>
        <w:numPr>
          <w:ilvl w:val="0"/>
          <w:numId w:val="27"/>
        </w:numPr>
        <w:tabs>
          <w:tab w:val="left" w:pos="-720"/>
        </w:tabs>
        <w:autoSpaceDE/>
        <w:autoSpaceDN/>
        <w:adjustRightInd/>
        <w:ind w:left="1440" w:hanging="720"/>
        <w:jc w:val="both"/>
        <w:rPr>
          <w:spacing w:val="-2"/>
          <w:sz w:val="22"/>
          <w:szCs w:val="22"/>
          <w:lang w:val="fr-FR"/>
        </w:rPr>
      </w:pPr>
      <w:r w:rsidRPr="001221C2">
        <w:rPr>
          <w:sz w:val="22"/>
          <w:szCs w:val="22"/>
          <w:lang w:val="fr-FR"/>
        </w:rPr>
        <w:lastRenderedPageBreak/>
        <w:t>Coordonner et maintenir une communication permanente avec l’Organisation interaméricaine de défense par l’intermédiaire de la Division des services techniques - section Gestion des armes, sur toutes les questions relatives à la Convention ;</w:t>
      </w:r>
    </w:p>
    <w:p w14:paraId="28BD5338" w14:textId="77777777" w:rsidR="0077774B" w:rsidRPr="001221C2" w:rsidRDefault="0077774B" w:rsidP="00B65B8E">
      <w:pPr>
        <w:tabs>
          <w:tab w:val="left" w:pos="-720"/>
        </w:tabs>
        <w:jc w:val="both"/>
        <w:rPr>
          <w:spacing w:val="-2"/>
          <w:sz w:val="22"/>
          <w:szCs w:val="22"/>
          <w:lang w:val="fr-FR"/>
        </w:rPr>
      </w:pPr>
    </w:p>
    <w:p w14:paraId="022E4E8F" w14:textId="77777777" w:rsidR="0077774B" w:rsidRPr="001221C2" w:rsidRDefault="0077774B" w:rsidP="0077774B">
      <w:pPr>
        <w:widowControl/>
        <w:numPr>
          <w:ilvl w:val="0"/>
          <w:numId w:val="27"/>
        </w:numPr>
        <w:tabs>
          <w:tab w:val="left" w:pos="-720"/>
        </w:tabs>
        <w:autoSpaceDE/>
        <w:autoSpaceDN/>
        <w:adjustRightInd/>
        <w:ind w:left="1440" w:hanging="720"/>
        <w:jc w:val="both"/>
        <w:rPr>
          <w:spacing w:val="-2"/>
          <w:sz w:val="22"/>
          <w:szCs w:val="22"/>
          <w:lang w:val="fr-FR"/>
        </w:rPr>
      </w:pPr>
      <w:r w:rsidRPr="001221C2">
        <w:rPr>
          <w:sz w:val="22"/>
          <w:szCs w:val="22"/>
          <w:lang w:val="fr-FR"/>
        </w:rPr>
        <w:t>Contribuer à la mise en œuvre des programmes, projets et activités mis au point par le SG/OEA pour faciliter l'application de la Convention ;</w:t>
      </w:r>
    </w:p>
    <w:p w14:paraId="458874CD" w14:textId="77777777" w:rsidR="0077774B" w:rsidRPr="001221C2" w:rsidRDefault="0077774B" w:rsidP="00B65B8E">
      <w:pPr>
        <w:tabs>
          <w:tab w:val="left" w:pos="-720"/>
        </w:tabs>
        <w:jc w:val="both"/>
        <w:rPr>
          <w:spacing w:val="-2"/>
          <w:sz w:val="22"/>
          <w:szCs w:val="22"/>
          <w:lang w:val="fr-FR"/>
        </w:rPr>
      </w:pPr>
    </w:p>
    <w:p w14:paraId="1EF5C6CD" w14:textId="77777777" w:rsidR="0077774B" w:rsidRPr="001221C2" w:rsidRDefault="0077774B" w:rsidP="0077774B">
      <w:pPr>
        <w:widowControl/>
        <w:numPr>
          <w:ilvl w:val="0"/>
          <w:numId w:val="27"/>
        </w:numPr>
        <w:tabs>
          <w:tab w:val="left" w:pos="-720"/>
        </w:tabs>
        <w:autoSpaceDE/>
        <w:autoSpaceDN/>
        <w:adjustRightInd/>
        <w:ind w:left="1440" w:hanging="720"/>
        <w:jc w:val="both"/>
        <w:rPr>
          <w:spacing w:val="-2"/>
          <w:sz w:val="22"/>
          <w:szCs w:val="22"/>
          <w:lang w:val="fr-FR"/>
        </w:rPr>
      </w:pPr>
      <w:r w:rsidRPr="001221C2">
        <w:rPr>
          <w:sz w:val="22"/>
          <w:szCs w:val="22"/>
          <w:lang w:val="fr-FR"/>
        </w:rPr>
        <w:t>Promouvoir des mesures visant à faciliter la mise en œuvre de la Convention.</w:t>
      </w:r>
    </w:p>
    <w:p w14:paraId="55D86749" w14:textId="77777777" w:rsidR="0077774B" w:rsidRPr="001221C2" w:rsidRDefault="0077774B" w:rsidP="0077774B">
      <w:pPr>
        <w:tabs>
          <w:tab w:val="left" w:pos="-720"/>
        </w:tabs>
        <w:jc w:val="both"/>
        <w:rPr>
          <w:b/>
          <w:sz w:val="22"/>
          <w:szCs w:val="22"/>
          <w:lang w:val="fr-FR"/>
        </w:rPr>
      </w:pPr>
    </w:p>
    <w:p w14:paraId="69FF39ED" w14:textId="77777777" w:rsidR="0077774B" w:rsidRPr="001221C2" w:rsidRDefault="0077774B" w:rsidP="0077774B">
      <w:pPr>
        <w:pStyle w:val="BodyTextIndent"/>
        <w:widowControl/>
        <w:rPr>
          <w:b/>
          <w:sz w:val="22"/>
          <w:szCs w:val="22"/>
          <w:lang w:val="fr-FR"/>
        </w:rPr>
      </w:pPr>
      <w:r w:rsidRPr="001221C2">
        <w:rPr>
          <w:b/>
          <w:sz w:val="22"/>
          <w:szCs w:val="22"/>
          <w:lang w:val="fr-FR"/>
        </w:rPr>
        <w:t>Article 22</w:t>
      </w:r>
    </w:p>
    <w:p w14:paraId="7F5E3434" w14:textId="77777777" w:rsidR="0077774B" w:rsidRPr="001221C2" w:rsidRDefault="0077774B" w:rsidP="0077774B">
      <w:pPr>
        <w:tabs>
          <w:tab w:val="left" w:pos="-720"/>
        </w:tabs>
        <w:jc w:val="both"/>
        <w:rPr>
          <w:b/>
          <w:sz w:val="22"/>
          <w:szCs w:val="22"/>
          <w:lang w:val="fr-FR"/>
        </w:rPr>
      </w:pPr>
    </w:p>
    <w:p w14:paraId="5C059970" w14:textId="77777777" w:rsidR="0077774B" w:rsidRPr="001221C2" w:rsidRDefault="0077774B" w:rsidP="00B65B8E">
      <w:pPr>
        <w:pStyle w:val="BodyTextIndent"/>
        <w:widowControl/>
        <w:ind w:firstLine="720"/>
        <w:rPr>
          <w:b/>
          <w:sz w:val="22"/>
          <w:szCs w:val="22"/>
          <w:lang w:val="fr-FR"/>
        </w:rPr>
      </w:pPr>
      <w:r w:rsidRPr="001221C2">
        <w:rPr>
          <w:sz w:val="22"/>
          <w:szCs w:val="22"/>
          <w:lang w:val="fr-FR"/>
        </w:rPr>
        <w:t>Les États parties identifient un point de contact unique qui servira de liaison entre les États parties, ainsi qu'entre les États parties et le Comité consultatif, à des fins de coopération et d'échange d'informations.</w:t>
      </w:r>
    </w:p>
    <w:p w14:paraId="5DDC42EA" w14:textId="77777777" w:rsidR="0077774B" w:rsidRPr="001221C2" w:rsidRDefault="0077774B" w:rsidP="0077774B">
      <w:pPr>
        <w:tabs>
          <w:tab w:val="left" w:pos="-720"/>
        </w:tabs>
        <w:jc w:val="both"/>
        <w:rPr>
          <w:b/>
          <w:sz w:val="22"/>
          <w:szCs w:val="22"/>
          <w:lang w:val="fr-FR"/>
        </w:rPr>
      </w:pPr>
    </w:p>
    <w:p w14:paraId="65FFF40E" w14:textId="77777777" w:rsidR="0077774B" w:rsidRPr="001221C2" w:rsidRDefault="0077774B" w:rsidP="0077774B">
      <w:pPr>
        <w:pStyle w:val="BodyTextIndent"/>
        <w:widowControl/>
        <w:rPr>
          <w:b/>
          <w:sz w:val="22"/>
          <w:szCs w:val="22"/>
          <w:lang w:val="fr-FR"/>
        </w:rPr>
      </w:pPr>
      <w:r w:rsidRPr="001221C2">
        <w:rPr>
          <w:b/>
          <w:sz w:val="22"/>
          <w:szCs w:val="22"/>
          <w:lang w:val="fr-FR"/>
        </w:rPr>
        <w:t>Article 23</w:t>
      </w:r>
    </w:p>
    <w:p w14:paraId="2742B041" w14:textId="77777777" w:rsidR="0077774B" w:rsidRPr="001221C2" w:rsidRDefault="0077774B" w:rsidP="0077774B">
      <w:pPr>
        <w:tabs>
          <w:tab w:val="left" w:pos="-720"/>
        </w:tabs>
        <w:jc w:val="both"/>
        <w:rPr>
          <w:sz w:val="22"/>
          <w:szCs w:val="22"/>
          <w:lang w:val="fr-FR"/>
        </w:rPr>
      </w:pPr>
    </w:p>
    <w:p w14:paraId="4470680F" w14:textId="77777777" w:rsidR="0077774B" w:rsidRPr="001221C2" w:rsidRDefault="0077774B" w:rsidP="00B65B8E">
      <w:pPr>
        <w:pStyle w:val="BodyTextIndent"/>
        <w:widowControl/>
        <w:ind w:firstLine="720"/>
        <w:rPr>
          <w:sz w:val="22"/>
          <w:szCs w:val="22"/>
          <w:lang w:val="fr-FR"/>
        </w:rPr>
      </w:pPr>
      <w:r w:rsidRPr="001221C2">
        <w:rPr>
          <w:sz w:val="22"/>
          <w:szCs w:val="22"/>
          <w:lang w:val="fr-FR"/>
        </w:rPr>
        <w:t xml:space="preserve">Le Comité consultatif établit un règlement spécifique pour régir ses activités. </w:t>
      </w:r>
    </w:p>
    <w:p w14:paraId="2754D500" w14:textId="77777777" w:rsidR="0077774B" w:rsidRPr="001221C2" w:rsidRDefault="0077774B" w:rsidP="0077774B">
      <w:pPr>
        <w:pStyle w:val="BodyTextIndent"/>
        <w:widowControl/>
        <w:rPr>
          <w:sz w:val="22"/>
          <w:szCs w:val="22"/>
          <w:lang w:val="fr-FR"/>
        </w:rPr>
      </w:pPr>
    </w:p>
    <w:p w14:paraId="7C7C3AC3" w14:textId="77777777" w:rsidR="0077774B" w:rsidRPr="001221C2" w:rsidRDefault="0077774B" w:rsidP="0077774B">
      <w:pPr>
        <w:pStyle w:val="BodyTextIndent"/>
        <w:widowControl/>
        <w:jc w:val="center"/>
        <w:rPr>
          <w:sz w:val="22"/>
          <w:szCs w:val="22"/>
          <w:lang w:val="fr-FR"/>
        </w:rPr>
      </w:pPr>
    </w:p>
    <w:p w14:paraId="44E73BE8" w14:textId="77777777" w:rsidR="0077774B" w:rsidRPr="001221C2" w:rsidRDefault="0077774B" w:rsidP="0077774B">
      <w:pPr>
        <w:pStyle w:val="BodyTextIndent"/>
        <w:widowControl/>
        <w:jc w:val="center"/>
        <w:rPr>
          <w:sz w:val="22"/>
          <w:szCs w:val="22"/>
          <w:lang w:val="fr-FR"/>
        </w:rPr>
      </w:pPr>
      <w:r w:rsidRPr="001221C2">
        <w:rPr>
          <w:sz w:val="22"/>
          <w:szCs w:val="22"/>
          <w:lang w:val="fr-FR"/>
        </w:rPr>
        <w:t>CHAPITRE VI</w:t>
      </w:r>
    </w:p>
    <w:p w14:paraId="75F210DD" w14:textId="77777777" w:rsidR="0077774B" w:rsidRPr="001221C2" w:rsidRDefault="0077774B" w:rsidP="0077774B">
      <w:pPr>
        <w:pStyle w:val="BodyTextIndent"/>
        <w:widowControl/>
        <w:jc w:val="center"/>
        <w:rPr>
          <w:sz w:val="22"/>
          <w:szCs w:val="22"/>
          <w:lang w:val="fr-FR"/>
        </w:rPr>
      </w:pPr>
      <w:r w:rsidRPr="001221C2">
        <w:rPr>
          <w:sz w:val="22"/>
          <w:szCs w:val="22"/>
          <w:lang w:val="fr-FR"/>
        </w:rPr>
        <w:t>SECRÉTARIAT</w:t>
      </w:r>
    </w:p>
    <w:p w14:paraId="627DE977" w14:textId="77777777" w:rsidR="0077774B" w:rsidRPr="001221C2" w:rsidRDefault="0077774B" w:rsidP="0077774B">
      <w:pPr>
        <w:tabs>
          <w:tab w:val="left" w:pos="-720"/>
        </w:tabs>
        <w:jc w:val="both"/>
        <w:rPr>
          <w:sz w:val="22"/>
          <w:szCs w:val="22"/>
          <w:lang w:val="fr-FR"/>
        </w:rPr>
      </w:pPr>
    </w:p>
    <w:p w14:paraId="13726BC0" w14:textId="77777777" w:rsidR="0077774B" w:rsidRPr="001221C2" w:rsidRDefault="0077774B" w:rsidP="0077774B">
      <w:pPr>
        <w:pStyle w:val="BodyTextIndent"/>
        <w:widowControl/>
        <w:rPr>
          <w:b/>
          <w:sz w:val="22"/>
          <w:szCs w:val="22"/>
          <w:lang w:val="fr-FR"/>
        </w:rPr>
      </w:pPr>
      <w:r w:rsidRPr="001221C2">
        <w:rPr>
          <w:b/>
          <w:sz w:val="22"/>
          <w:szCs w:val="22"/>
          <w:lang w:val="fr-FR"/>
        </w:rPr>
        <w:t>Article 24</w:t>
      </w:r>
    </w:p>
    <w:p w14:paraId="279C5F59" w14:textId="77777777" w:rsidR="0077774B" w:rsidRPr="001221C2" w:rsidRDefault="0077774B" w:rsidP="0077774B">
      <w:pPr>
        <w:pStyle w:val="BodyTextIndent"/>
        <w:widowControl/>
        <w:rPr>
          <w:b/>
          <w:sz w:val="22"/>
          <w:szCs w:val="22"/>
          <w:lang w:val="fr-FR"/>
        </w:rPr>
      </w:pPr>
    </w:p>
    <w:p w14:paraId="35028E75" w14:textId="77777777" w:rsidR="0077774B" w:rsidRPr="001221C2" w:rsidRDefault="0077774B" w:rsidP="00B65B8E">
      <w:pPr>
        <w:pStyle w:val="BodyTextIndent"/>
        <w:widowControl/>
        <w:ind w:firstLine="720"/>
        <w:rPr>
          <w:sz w:val="22"/>
          <w:szCs w:val="22"/>
          <w:lang w:val="fr-FR"/>
        </w:rPr>
      </w:pPr>
      <w:r w:rsidRPr="001221C2">
        <w:rPr>
          <w:sz w:val="22"/>
          <w:szCs w:val="22"/>
          <w:lang w:val="fr-FR"/>
        </w:rPr>
        <w:t xml:space="preserve">Le SG/OEA, en sa qualité de dépositaire de la Convention en vertu de l’article XIV de la Convention, assure le secrétariat technique et administratif du processus de la Conférence. </w:t>
      </w:r>
    </w:p>
    <w:p w14:paraId="3E1FF007" w14:textId="77777777" w:rsidR="0077774B" w:rsidRPr="001221C2" w:rsidRDefault="0077774B" w:rsidP="0077774B">
      <w:pPr>
        <w:tabs>
          <w:tab w:val="left" w:pos="-720"/>
        </w:tabs>
        <w:jc w:val="both"/>
        <w:rPr>
          <w:sz w:val="22"/>
          <w:szCs w:val="22"/>
          <w:lang w:val="fr-FR"/>
        </w:rPr>
      </w:pPr>
    </w:p>
    <w:p w14:paraId="6A4807FE" w14:textId="77777777" w:rsidR="0077774B" w:rsidRPr="001221C2" w:rsidRDefault="0077774B" w:rsidP="00B65B8E">
      <w:pPr>
        <w:pStyle w:val="BodyTextIndent"/>
        <w:widowControl/>
        <w:ind w:firstLine="720"/>
        <w:rPr>
          <w:sz w:val="22"/>
          <w:szCs w:val="22"/>
          <w:lang w:val="fr-FR"/>
        </w:rPr>
      </w:pPr>
      <w:r w:rsidRPr="001221C2">
        <w:rPr>
          <w:sz w:val="22"/>
          <w:szCs w:val="22"/>
          <w:lang w:val="fr-FR"/>
        </w:rPr>
        <w:t xml:space="preserve">Par conséquent, pour tout ce qui a trait à son personnel technique et administratif, ainsi qu’à son organisation et à son fonctionnement, le Secrétariat est régi par les dispositions de la Charte de l’OEA, les Normes générales de fonctionnement telles qu’approuvées par l’Assemblée générale et les décisions adoptées par le Secrétaire général de l’OEA à titre de suivi. </w:t>
      </w:r>
    </w:p>
    <w:p w14:paraId="6867981A" w14:textId="77777777" w:rsidR="0077774B" w:rsidRPr="001221C2" w:rsidRDefault="0077774B" w:rsidP="0077774B">
      <w:pPr>
        <w:tabs>
          <w:tab w:val="left" w:pos="-720"/>
        </w:tabs>
        <w:jc w:val="both"/>
        <w:rPr>
          <w:b/>
          <w:sz w:val="22"/>
          <w:szCs w:val="22"/>
          <w:lang w:val="fr-FR"/>
        </w:rPr>
      </w:pPr>
    </w:p>
    <w:p w14:paraId="69430ECF" w14:textId="77777777" w:rsidR="0077774B" w:rsidRPr="001221C2" w:rsidRDefault="0077774B" w:rsidP="0077774B">
      <w:pPr>
        <w:pStyle w:val="BodyTextIndent"/>
        <w:widowControl/>
        <w:rPr>
          <w:b/>
          <w:sz w:val="22"/>
          <w:szCs w:val="22"/>
          <w:lang w:val="fr-FR"/>
        </w:rPr>
      </w:pPr>
      <w:r w:rsidRPr="001221C2">
        <w:rPr>
          <w:b/>
          <w:sz w:val="22"/>
          <w:szCs w:val="22"/>
          <w:lang w:val="fr-FR"/>
        </w:rPr>
        <w:t>Article 25</w:t>
      </w:r>
    </w:p>
    <w:p w14:paraId="4C9C1495" w14:textId="77777777" w:rsidR="0077774B" w:rsidRPr="001221C2" w:rsidRDefault="0077774B" w:rsidP="0077774B">
      <w:pPr>
        <w:tabs>
          <w:tab w:val="left" w:pos="-720"/>
        </w:tabs>
        <w:jc w:val="both"/>
        <w:rPr>
          <w:sz w:val="22"/>
          <w:szCs w:val="22"/>
          <w:lang w:val="fr-FR"/>
        </w:rPr>
      </w:pPr>
    </w:p>
    <w:p w14:paraId="1ACE7BDC" w14:textId="77777777" w:rsidR="0077774B" w:rsidRPr="001221C2" w:rsidRDefault="0077774B" w:rsidP="00B65B8E">
      <w:pPr>
        <w:pStyle w:val="BodyTextIndent"/>
        <w:widowControl/>
        <w:ind w:firstLine="720"/>
        <w:rPr>
          <w:w w:val="103"/>
          <w:sz w:val="22"/>
          <w:szCs w:val="22"/>
          <w:lang w:val="fr-FR"/>
        </w:rPr>
      </w:pPr>
      <w:r w:rsidRPr="001221C2">
        <w:rPr>
          <w:sz w:val="22"/>
          <w:szCs w:val="22"/>
          <w:lang w:val="fr-FR"/>
        </w:rPr>
        <w:t xml:space="preserve">Le Secrétariat a pour attributions les suivantes : </w:t>
      </w:r>
    </w:p>
    <w:p w14:paraId="7E7277B1" w14:textId="77777777" w:rsidR="0077774B" w:rsidRPr="001221C2" w:rsidRDefault="0077774B" w:rsidP="0077774B">
      <w:pPr>
        <w:tabs>
          <w:tab w:val="left" w:pos="-720"/>
        </w:tabs>
        <w:jc w:val="both"/>
        <w:rPr>
          <w:sz w:val="22"/>
          <w:szCs w:val="22"/>
          <w:lang w:val="fr-FR"/>
        </w:rPr>
      </w:pPr>
    </w:p>
    <w:p w14:paraId="0866BA2A" w14:textId="77777777" w:rsidR="0077774B" w:rsidRPr="001221C2" w:rsidRDefault="0077774B" w:rsidP="0077774B">
      <w:pPr>
        <w:widowControl/>
        <w:numPr>
          <w:ilvl w:val="0"/>
          <w:numId w:val="28"/>
        </w:numPr>
        <w:tabs>
          <w:tab w:val="left" w:pos="-720"/>
        </w:tabs>
        <w:autoSpaceDE/>
        <w:autoSpaceDN/>
        <w:adjustRightInd/>
        <w:ind w:left="1440" w:hanging="720"/>
        <w:jc w:val="both"/>
        <w:rPr>
          <w:sz w:val="22"/>
          <w:szCs w:val="22"/>
          <w:lang w:val="fr-FR"/>
        </w:rPr>
      </w:pPr>
      <w:r w:rsidRPr="001221C2">
        <w:rPr>
          <w:sz w:val="22"/>
          <w:szCs w:val="22"/>
          <w:lang w:val="fr-FR"/>
        </w:rPr>
        <w:t>Conseiller les présidents respectifs sur la préparation et le déroulement de chaque Conférence et des réunions du Comité consultatif, y compris en fournissant un appui à l’élaboration et à la distribution, par l'intermédiaire des missions permanentes près l'OEA, des projets d'ordre du jour ;</w:t>
      </w:r>
    </w:p>
    <w:p w14:paraId="68009048" w14:textId="77777777" w:rsidR="0077774B" w:rsidRPr="001221C2" w:rsidRDefault="0077774B" w:rsidP="00B65B8E">
      <w:pPr>
        <w:tabs>
          <w:tab w:val="left" w:pos="-720"/>
        </w:tabs>
        <w:jc w:val="both"/>
        <w:rPr>
          <w:sz w:val="22"/>
          <w:szCs w:val="22"/>
          <w:lang w:val="fr-FR"/>
        </w:rPr>
      </w:pPr>
    </w:p>
    <w:p w14:paraId="78AC0EBE" w14:textId="77777777" w:rsidR="0077774B" w:rsidRPr="001221C2" w:rsidRDefault="0077774B" w:rsidP="0077774B">
      <w:pPr>
        <w:widowControl/>
        <w:numPr>
          <w:ilvl w:val="0"/>
          <w:numId w:val="28"/>
        </w:numPr>
        <w:tabs>
          <w:tab w:val="left" w:pos="-720"/>
        </w:tabs>
        <w:autoSpaceDE/>
        <w:autoSpaceDN/>
        <w:adjustRightInd/>
        <w:ind w:left="1440" w:hanging="720"/>
        <w:jc w:val="both"/>
        <w:rPr>
          <w:sz w:val="22"/>
          <w:szCs w:val="22"/>
          <w:lang w:val="fr-FR"/>
        </w:rPr>
      </w:pPr>
      <w:r w:rsidRPr="001221C2">
        <w:rPr>
          <w:sz w:val="22"/>
          <w:szCs w:val="22"/>
          <w:lang w:val="fr-FR"/>
        </w:rPr>
        <w:t>Coordonner les aspects organisationnels et administratifs liés à chaque Conférence et aux réunions du Comité consultatif. Lorsqu’un État partie propose d’accueillir l’une de celles-ci, il conclut avec lui un accord dont la négociation et la signature sont coordonnées par sa mission permanente près l'OEA ;</w:t>
      </w:r>
    </w:p>
    <w:p w14:paraId="7BBE8123" w14:textId="77777777" w:rsidR="0077774B" w:rsidRPr="001221C2" w:rsidRDefault="0077774B" w:rsidP="00B65B8E">
      <w:pPr>
        <w:tabs>
          <w:tab w:val="left" w:pos="-720"/>
        </w:tabs>
        <w:jc w:val="both"/>
        <w:rPr>
          <w:sz w:val="22"/>
          <w:szCs w:val="22"/>
          <w:lang w:val="fr-FR"/>
        </w:rPr>
      </w:pPr>
    </w:p>
    <w:p w14:paraId="566D0E21" w14:textId="77777777" w:rsidR="0077774B" w:rsidRPr="001221C2" w:rsidRDefault="0077774B" w:rsidP="0077774B">
      <w:pPr>
        <w:widowControl/>
        <w:numPr>
          <w:ilvl w:val="0"/>
          <w:numId w:val="28"/>
        </w:numPr>
        <w:tabs>
          <w:tab w:val="left" w:pos="-720"/>
        </w:tabs>
        <w:autoSpaceDE/>
        <w:autoSpaceDN/>
        <w:adjustRightInd/>
        <w:ind w:left="1440" w:hanging="720"/>
        <w:jc w:val="both"/>
        <w:rPr>
          <w:sz w:val="22"/>
          <w:szCs w:val="22"/>
          <w:lang w:val="fr-FR"/>
        </w:rPr>
      </w:pPr>
      <w:r w:rsidRPr="001221C2">
        <w:rPr>
          <w:sz w:val="22"/>
          <w:szCs w:val="22"/>
          <w:lang w:val="fr-FR"/>
        </w:rPr>
        <w:lastRenderedPageBreak/>
        <w:t>Fournir les services mêmes de secrétariat à chaque Conférence et aux réunions du Comité consultatif, tout en les aidant à élaborer et à examiner les projets de recommandation appropriés et classer, traduire, distribuer aux délégations et, le cas échéant, diffuser sur Internet et par tout autre moyen les textes officiels des documents présentés, examinés et adoptés lors des réunions ;</w:t>
      </w:r>
    </w:p>
    <w:p w14:paraId="30C3EFEA" w14:textId="77777777" w:rsidR="0077774B" w:rsidRPr="001221C2" w:rsidRDefault="0077774B" w:rsidP="00B65B8E">
      <w:pPr>
        <w:tabs>
          <w:tab w:val="left" w:pos="-720"/>
        </w:tabs>
        <w:jc w:val="both"/>
        <w:rPr>
          <w:sz w:val="22"/>
          <w:szCs w:val="22"/>
          <w:lang w:val="fr-FR"/>
        </w:rPr>
      </w:pPr>
    </w:p>
    <w:p w14:paraId="67D7BB5F" w14:textId="77777777" w:rsidR="0077774B" w:rsidRPr="001221C2" w:rsidRDefault="0077774B" w:rsidP="0077774B">
      <w:pPr>
        <w:widowControl/>
        <w:numPr>
          <w:ilvl w:val="0"/>
          <w:numId w:val="28"/>
        </w:numPr>
        <w:tabs>
          <w:tab w:val="left" w:pos="-720"/>
        </w:tabs>
        <w:autoSpaceDE/>
        <w:autoSpaceDN/>
        <w:adjustRightInd/>
        <w:ind w:left="1440" w:hanging="720"/>
        <w:jc w:val="both"/>
        <w:rPr>
          <w:sz w:val="22"/>
          <w:szCs w:val="22"/>
          <w:lang w:val="fr-FR"/>
        </w:rPr>
      </w:pPr>
      <w:r w:rsidRPr="001221C2">
        <w:rPr>
          <w:sz w:val="22"/>
          <w:szCs w:val="22"/>
          <w:lang w:val="fr-FR"/>
        </w:rPr>
        <w:t xml:space="preserve">Servir de point central de coordination et de contact pour l’envoi et la réception de documents et communications entre les autorités qui participent à chaque Conférence des États parties et aux réunions du Comité consultatif en ce qui a trait à leur organisation, à leur fonctionnement et à la mise en œuvre de leurs recommandations respectives ; </w:t>
      </w:r>
    </w:p>
    <w:p w14:paraId="5A3C23C5" w14:textId="77777777" w:rsidR="0077774B" w:rsidRPr="001221C2" w:rsidRDefault="0077774B" w:rsidP="00B65B8E">
      <w:pPr>
        <w:tabs>
          <w:tab w:val="left" w:pos="-720"/>
        </w:tabs>
        <w:jc w:val="both"/>
        <w:rPr>
          <w:sz w:val="22"/>
          <w:szCs w:val="22"/>
          <w:lang w:val="fr-FR"/>
        </w:rPr>
      </w:pPr>
    </w:p>
    <w:p w14:paraId="50352ADC" w14:textId="77777777" w:rsidR="0077774B" w:rsidRPr="001221C2" w:rsidRDefault="0077774B" w:rsidP="0077774B">
      <w:pPr>
        <w:widowControl/>
        <w:numPr>
          <w:ilvl w:val="0"/>
          <w:numId w:val="28"/>
        </w:numPr>
        <w:tabs>
          <w:tab w:val="left" w:pos="-720"/>
        </w:tabs>
        <w:autoSpaceDE/>
        <w:autoSpaceDN/>
        <w:adjustRightInd/>
        <w:ind w:left="1440" w:hanging="720"/>
        <w:jc w:val="both"/>
        <w:rPr>
          <w:sz w:val="22"/>
          <w:szCs w:val="22"/>
          <w:lang w:val="fr-FR"/>
        </w:rPr>
      </w:pPr>
      <w:r w:rsidRPr="001221C2">
        <w:rPr>
          <w:sz w:val="22"/>
          <w:szCs w:val="22"/>
          <w:lang w:val="fr-FR"/>
        </w:rPr>
        <w:t>Promouvoir la présentation régulière et constante des rapports prévus aux articles III, IV et V de la Convention par le biais d’activités de sensibilisation, de diffusion et de formation à l’intention des autorités compétentes des États parties, et par la mise en œuvre de mécanismes facilitant la présentation des rapports, tels que des systèmes d’information et éventuellement la transmission de rapports par voie électronique, entre autres mesures pertinentes ;</w:t>
      </w:r>
    </w:p>
    <w:p w14:paraId="22BA2226" w14:textId="77777777" w:rsidR="0077774B" w:rsidRPr="001221C2" w:rsidRDefault="0077774B" w:rsidP="00B65B8E">
      <w:pPr>
        <w:tabs>
          <w:tab w:val="left" w:pos="-720"/>
        </w:tabs>
        <w:jc w:val="both"/>
        <w:rPr>
          <w:spacing w:val="-2"/>
          <w:sz w:val="22"/>
          <w:szCs w:val="22"/>
          <w:lang w:val="fr-FR"/>
        </w:rPr>
      </w:pPr>
    </w:p>
    <w:p w14:paraId="59BCD8AE" w14:textId="77777777" w:rsidR="0077774B" w:rsidRPr="001221C2" w:rsidRDefault="0077774B" w:rsidP="0077774B">
      <w:pPr>
        <w:widowControl/>
        <w:numPr>
          <w:ilvl w:val="0"/>
          <w:numId w:val="28"/>
        </w:numPr>
        <w:tabs>
          <w:tab w:val="left" w:pos="-720"/>
        </w:tabs>
        <w:autoSpaceDE/>
        <w:autoSpaceDN/>
        <w:adjustRightInd/>
        <w:ind w:left="1440" w:hanging="720"/>
        <w:jc w:val="both"/>
        <w:rPr>
          <w:spacing w:val="-2"/>
          <w:sz w:val="22"/>
          <w:szCs w:val="22"/>
          <w:lang w:val="fr-FR"/>
        </w:rPr>
      </w:pPr>
      <w:r w:rsidRPr="001221C2">
        <w:rPr>
          <w:sz w:val="22"/>
          <w:szCs w:val="22"/>
          <w:lang w:val="fr-FR"/>
        </w:rPr>
        <w:t>Compiler les rapports reçus par les États parties, conformément aux articles III, IV et V de la Convention, et les transmettre aux États parties ;</w:t>
      </w:r>
    </w:p>
    <w:p w14:paraId="3CD172FD" w14:textId="77777777" w:rsidR="0077774B" w:rsidRPr="001221C2" w:rsidRDefault="0077774B" w:rsidP="00B65B8E">
      <w:pPr>
        <w:tabs>
          <w:tab w:val="left" w:pos="-720"/>
        </w:tabs>
        <w:jc w:val="both"/>
        <w:rPr>
          <w:spacing w:val="-2"/>
          <w:sz w:val="22"/>
          <w:szCs w:val="22"/>
          <w:lang w:val="fr-FR"/>
        </w:rPr>
      </w:pPr>
    </w:p>
    <w:p w14:paraId="4A351D57" w14:textId="77777777" w:rsidR="0077774B" w:rsidRPr="001221C2" w:rsidRDefault="0077774B" w:rsidP="0077774B">
      <w:pPr>
        <w:widowControl/>
        <w:numPr>
          <w:ilvl w:val="0"/>
          <w:numId w:val="28"/>
        </w:numPr>
        <w:tabs>
          <w:tab w:val="left" w:pos="-720"/>
        </w:tabs>
        <w:autoSpaceDE/>
        <w:autoSpaceDN/>
        <w:adjustRightInd/>
        <w:ind w:left="1440" w:hanging="720"/>
        <w:jc w:val="both"/>
        <w:rPr>
          <w:spacing w:val="-2"/>
          <w:sz w:val="22"/>
          <w:szCs w:val="22"/>
          <w:lang w:val="fr-FR"/>
        </w:rPr>
      </w:pPr>
      <w:r w:rsidRPr="001221C2">
        <w:rPr>
          <w:sz w:val="22"/>
          <w:szCs w:val="22"/>
          <w:lang w:val="fr-FR"/>
        </w:rPr>
        <w:t>Élaborer le rapport annuel global des informations fournies au titre de la Convention, aux fins de transmission aux États parties ;</w:t>
      </w:r>
    </w:p>
    <w:p w14:paraId="72B36CBE" w14:textId="77777777" w:rsidR="0077774B" w:rsidRPr="001221C2" w:rsidRDefault="0077774B" w:rsidP="00B65B8E">
      <w:pPr>
        <w:tabs>
          <w:tab w:val="left" w:pos="-720"/>
        </w:tabs>
        <w:jc w:val="both"/>
        <w:rPr>
          <w:spacing w:val="-2"/>
          <w:sz w:val="22"/>
          <w:szCs w:val="22"/>
          <w:lang w:val="fr-FR"/>
        </w:rPr>
      </w:pPr>
    </w:p>
    <w:p w14:paraId="685FA291" w14:textId="77777777" w:rsidR="0077774B" w:rsidRPr="001221C2" w:rsidRDefault="0077774B" w:rsidP="0077774B">
      <w:pPr>
        <w:widowControl/>
        <w:numPr>
          <w:ilvl w:val="0"/>
          <w:numId w:val="28"/>
        </w:numPr>
        <w:tabs>
          <w:tab w:val="left" w:pos="-720"/>
        </w:tabs>
        <w:autoSpaceDE/>
        <w:autoSpaceDN/>
        <w:adjustRightInd/>
        <w:ind w:left="1440" w:hanging="720"/>
        <w:jc w:val="both"/>
        <w:rPr>
          <w:spacing w:val="-2"/>
          <w:sz w:val="22"/>
          <w:szCs w:val="22"/>
          <w:lang w:val="fr-FR"/>
        </w:rPr>
      </w:pPr>
      <w:r w:rsidRPr="001221C2">
        <w:rPr>
          <w:sz w:val="22"/>
          <w:szCs w:val="22"/>
          <w:lang w:val="fr-FR"/>
        </w:rPr>
        <w:t>Maintenir une base de données actualisée avec des informations concernant les points de contact nationaux de la Convention ;</w:t>
      </w:r>
    </w:p>
    <w:p w14:paraId="37EC8418" w14:textId="77777777" w:rsidR="0077774B" w:rsidRPr="001221C2" w:rsidRDefault="0077774B" w:rsidP="00B65B8E">
      <w:pPr>
        <w:tabs>
          <w:tab w:val="left" w:pos="-720"/>
        </w:tabs>
        <w:jc w:val="both"/>
        <w:rPr>
          <w:spacing w:val="-2"/>
          <w:sz w:val="22"/>
          <w:szCs w:val="22"/>
          <w:lang w:val="fr-FR"/>
        </w:rPr>
      </w:pPr>
    </w:p>
    <w:p w14:paraId="07946A62" w14:textId="77777777" w:rsidR="0077774B" w:rsidRPr="001221C2" w:rsidRDefault="0077774B" w:rsidP="0077774B">
      <w:pPr>
        <w:widowControl/>
        <w:numPr>
          <w:ilvl w:val="0"/>
          <w:numId w:val="28"/>
        </w:numPr>
        <w:tabs>
          <w:tab w:val="left" w:pos="-720"/>
        </w:tabs>
        <w:autoSpaceDE/>
        <w:autoSpaceDN/>
        <w:adjustRightInd/>
        <w:ind w:left="1440" w:hanging="720"/>
        <w:jc w:val="both"/>
        <w:rPr>
          <w:spacing w:val="-2"/>
          <w:sz w:val="22"/>
          <w:szCs w:val="22"/>
          <w:lang w:val="fr-FR"/>
        </w:rPr>
      </w:pPr>
      <w:r w:rsidRPr="001221C2">
        <w:rPr>
          <w:sz w:val="22"/>
          <w:szCs w:val="22"/>
          <w:lang w:val="fr-FR"/>
        </w:rPr>
        <w:t>Promouvoir, organiser et coordonner les programmes, les projets et les activités pour faciliter et renforcer l’échange d’information, la formation et la coopération technique dans le but de promouvoir la Convention. À ces fins, et en restant constamment en communication avec les États parties, il signe les accords respectifs avec les États, les organisations internationales et les organismes qui contribuent à leur financement et avec les États dans lesquels ils doivent être exécutés, conformément aux dispositions en vigueur qui régissent la question dans le cadre de l’OEA ;</w:t>
      </w:r>
    </w:p>
    <w:p w14:paraId="63C1E706" w14:textId="77777777" w:rsidR="0077774B" w:rsidRPr="001221C2" w:rsidRDefault="0077774B" w:rsidP="00B65B8E">
      <w:pPr>
        <w:tabs>
          <w:tab w:val="left" w:pos="-720"/>
        </w:tabs>
        <w:jc w:val="both"/>
        <w:rPr>
          <w:spacing w:val="-2"/>
          <w:sz w:val="22"/>
          <w:szCs w:val="22"/>
          <w:lang w:val="fr-FR"/>
        </w:rPr>
      </w:pPr>
    </w:p>
    <w:p w14:paraId="20C8BE94" w14:textId="77777777" w:rsidR="0077774B" w:rsidRPr="001221C2" w:rsidRDefault="0077774B" w:rsidP="0077774B">
      <w:pPr>
        <w:widowControl/>
        <w:numPr>
          <w:ilvl w:val="0"/>
          <w:numId w:val="28"/>
        </w:numPr>
        <w:tabs>
          <w:tab w:val="left" w:pos="-720"/>
        </w:tabs>
        <w:autoSpaceDE/>
        <w:autoSpaceDN/>
        <w:adjustRightInd/>
        <w:ind w:left="1440" w:hanging="720"/>
        <w:jc w:val="both"/>
        <w:rPr>
          <w:spacing w:val="-2"/>
          <w:sz w:val="22"/>
          <w:szCs w:val="22"/>
          <w:lang w:val="fr-FR"/>
        </w:rPr>
      </w:pPr>
      <w:r w:rsidRPr="001221C2">
        <w:rPr>
          <w:sz w:val="22"/>
          <w:szCs w:val="22"/>
          <w:lang w:val="fr-FR"/>
        </w:rPr>
        <w:t xml:space="preserve">Mettre en œuvre des stratégies dans le but de motiver les États qui n’ont pas signé ou qui ont signé mais n’ont pas ratifié la Convention à ratifier celle-ci ou à y adhérer ; </w:t>
      </w:r>
    </w:p>
    <w:p w14:paraId="5043EEBC" w14:textId="77777777" w:rsidR="0077774B" w:rsidRPr="001221C2" w:rsidRDefault="0077774B" w:rsidP="00B65B8E">
      <w:pPr>
        <w:tabs>
          <w:tab w:val="left" w:pos="-720"/>
        </w:tabs>
        <w:jc w:val="both"/>
        <w:rPr>
          <w:spacing w:val="-2"/>
          <w:sz w:val="22"/>
          <w:szCs w:val="22"/>
          <w:lang w:val="fr-FR"/>
        </w:rPr>
      </w:pPr>
    </w:p>
    <w:p w14:paraId="592A7A43" w14:textId="77777777" w:rsidR="0077774B" w:rsidRPr="001221C2" w:rsidRDefault="0077774B" w:rsidP="0077774B">
      <w:pPr>
        <w:widowControl/>
        <w:numPr>
          <w:ilvl w:val="0"/>
          <w:numId w:val="28"/>
        </w:numPr>
        <w:tabs>
          <w:tab w:val="left" w:pos="-720"/>
        </w:tabs>
        <w:autoSpaceDE/>
        <w:autoSpaceDN/>
        <w:adjustRightInd/>
        <w:ind w:left="1440" w:hanging="720"/>
        <w:jc w:val="both"/>
        <w:rPr>
          <w:spacing w:val="-2"/>
          <w:sz w:val="22"/>
          <w:szCs w:val="22"/>
          <w:lang w:val="fr-FR"/>
        </w:rPr>
      </w:pPr>
      <w:r w:rsidRPr="001221C2">
        <w:rPr>
          <w:sz w:val="22"/>
          <w:szCs w:val="22"/>
          <w:lang w:val="fr-FR"/>
        </w:rPr>
        <w:t>Maintenir une communication et une coordination permanentes avec l’Organisation interaméricaine de défense par l’intermédiaire de la Division des services techniques - section Gestion des armes, sur toutes les questions relatives à la Convention ;</w:t>
      </w:r>
    </w:p>
    <w:p w14:paraId="4DA13F9F" w14:textId="77777777" w:rsidR="0077774B" w:rsidRPr="001221C2" w:rsidRDefault="0077774B" w:rsidP="00B65B8E">
      <w:pPr>
        <w:tabs>
          <w:tab w:val="left" w:pos="-720"/>
        </w:tabs>
        <w:jc w:val="both"/>
        <w:rPr>
          <w:spacing w:val="-2"/>
          <w:sz w:val="22"/>
          <w:szCs w:val="22"/>
          <w:lang w:val="fr-FR"/>
        </w:rPr>
      </w:pPr>
    </w:p>
    <w:p w14:paraId="3E128417" w14:textId="548C38A6" w:rsidR="0077774B" w:rsidRPr="001221C2" w:rsidRDefault="0077774B" w:rsidP="0077774B">
      <w:pPr>
        <w:widowControl/>
        <w:numPr>
          <w:ilvl w:val="0"/>
          <w:numId w:val="28"/>
        </w:numPr>
        <w:tabs>
          <w:tab w:val="left" w:pos="-720"/>
        </w:tabs>
        <w:autoSpaceDE/>
        <w:autoSpaceDN/>
        <w:adjustRightInd/>
        <w:ind w:left="1440" w:hanging="720"/>
        <w:jc w:val="both"/>
        <w:rPr>
          <w:spacing w:val="-2"/>
          <w:sz w:val="22"/>
          <w:szCs w:val="22"/>
          <w:lang w:val="fr-FR"/>
        </w:rPr>
      </w:pPr>
      <w:r w:rsidRPr="001221C2">
        <w:rPr>
          <w:sz w:val="22"/>
          <w:szCs w:val="22"/>
          <w:lang w:val="fr-FR"/>
        </w:rPr>
        <w:t>Établir un mécanisme relevant de la Convention pour systématiser le registre technique et le soutien politique de la Convention, en fonction de la disponibilité des ressources</w:t>
      </w:r>
      <w:r w:rsidR="00B65B8E" w:rsidRPr="001221C2">
        <w:rPr>
          <w:sz w:val="22"/>
          <w:szCs w:val="22"/>
          <w:lang w:val="fr-FR"/>
        </w:rPr>
        <w:t> </w:t>
      </w:r>
      <w:r w:rsidRPr="001221C2">
        <w:rPr>
          <w:sz w:val="22"/>
          <w:szCs w:val="22"/>
          <w:lang w:val="fr-FR"/>
        </w:rPr>
        <w:t>;</w:t>
      </w:r>
    </w:p>
    <w:p w14:paraId="67622B36" w14:textId="77777777" w:rsidR="0077774B" w:rsidRPr="001221C2" w:rsidRDefault="0077774B" w:rsidP="00B65B8E">
      <w:pPr>
        <w:tabs>
          <w:tab w:val="left" w:pos="-720"/>
        </w:tabs>
        <w:jc w:val="both"/>
        <w:rPr>
          <w:spacing w:val="-2"/>
          <w:sz w:val="22"/>
          <w:szCs w:val="22"/>
          <w:lang w:val="fr-FR"/>
        </w:rPr>
      </w:pPr>
    </w:p>
    <w:p w14:paraId="3C20B40C" w14:textId="77777777" w:rsidR="0077774B" w:rsidRPr="001221C2" w:rsidRDefault="0077774B" w:rsidP="0077774B">
      <w:pPr>
        <w:widowControl/>
        <w:numPr>
          <w:ilvl w:val="0"/>
          <w:numId w:val="28"/>
        </w:numPr>
        <w:tabs>
          <w:tab w:val="left" w:pos="-720"/>
        </w:tabs>
        <w:autoSpaceDE/>
        <w:autoSpaceDN/>
        <w:adjustRightInd/>
        <w:ind w:left="1440" w:hanging="720"/>
        <w:jc w:val="both"/>
        <w:rPr>
          <w:spacing w:val="-2"/>
          <w:sz w:val="22"/>
          <w:szCs w:val="22"/>
          <w:lang w:val="fr-FR"/>
        </w:rPr>
      </w:pPr>
      <w:r w:rsidRPr="001221C2">
        <w:rPr>
          <w:sz w:val="22"/>
          <w:szCs w:val="22"/>
          <w:lang w:val="fr-FR"/>
        </w:rPr>
        <w:t>Concevoir et maintenir un site web ou une plate-forme pour l'échange d'informations, en fonction de la disponibilité des ressources ;</w:t>
      </w:r>
    </w:p>
    <w:p w14:paraId="4DA80CBF" w14:textId="77777777" w:rsidR="0077774B" w:rsidRPr="001221C2" w:rsidRDefault="0077774B" w:rsidP="00D01525">
      <w:pPr>
        <w:tabs>
          <w:tab w:val="left" w:pos="-720"/>
        </w:tabs>
        <w:jc w:val="both"/>
        <w:rPr>
          <w:spacing w:val="-2"/>
          <w:sz w:val="22"/>
          <w:szCs w:val="22"/>
          <w:lang w:val="fr-FR"/>
        </w:rPr>
      </w:pPr>
    </w:p>
    <w:p w14:paraId="42FDD3CD" w14:textId="77777777" w:rsidR="0077774B" w:rsidRPr="001221C2" w:rsidRDefault="0077774B" w:rsidP="0077774B">
      <w:pPr>
        <w:widowControl/>
        <w:numPr>
          <w:ilvl w:val="0"/>
          <w:numId w:val="28"/>
        </w:numPr>
        <w:tabs>
          <w:tab w:val="left" w:pos="-720"/>
        </w:tabs>
        <w:autoSpaceDE/>
        <w:autoSpaceDN/>
        <w:adjustRightInd/>
        <w:ind w:left="1440" w:hanging="720"/>
        <w:jc w:val="both"/>
        <w:rPr>
          <w:spacing w:val="-2"/>
          <w:sz w:val="22"/>
          <w:szCs w:val="22"/>
          <w:lang w:val="fr-FR"/>
        </w:rPr>
      </w:pPr>
      <w:r w:rsidRPr="001221C2">
        <w:rPr>
          <w:sz w:val="22"/>
          <w:szCs w:val="22"/>
          <w:lang w:val="fr-FR"/>
        </w:rPr>
        <w:t>Assurer le suivi des décisions émanant de l'Assemblée générale de l'OEA relatives à la Convention ;</w:t>
      </w:r>
    </w:p>
    <w:p w14:paraId="1EB34634" w14:textId="77777777" w:rsidR="0077774B" w:rsidRPr="001221C2" w:rsidRDefault="0077774B" w:rsidP="00D01525">
      <w:pPr>
        <w:tabs>
          <w:tab w:val="left" w:pos="-720"/>
        </w:tabs>
        <w:jc w:val="both"/>
        <w:rPr>
          <w:spacing w:val="-2"/>
          <w:sz w:val="22"/>
          <w:szCs w:val="22"/>
          <w:lang w:val="fr-FR"/>
        </w:rPr>
      </w:pPr>
    </w:p>
    <w:p w14:paraId="5E98ED7D" w14:textId="4B99344B" w:rsidR="0077774B" w:rsidRPr="001221C2" w:rsidRDefault="0077774B" w:rsidP="0077774B">
      <w:pPr>
        <w:widowControl/>
        <w:numPr>
          <w:ilvl w:val="0"/>
          <w:numId w:val="28"/>
        </w:numPr>
        <w:tabs>
          <w:tab w:val="left" w:pos="-720"/>
        </w:tabs>
        <w:autoSpaceDE/>
        <w:autoSpaceDN/>
        <w:adjustRightInd/>
        <w:ind w:left="1440" w:hanging="720"/>
        <w:jc w:val="both"/>
        <w:rPr>
          <w:sz w:val="22"/>
          <w:szCs w:val="22"/>
          <w:lang w:val="fr-FR"/>
        </w:rPr>
      </w:pPr>
      <w:r w:rsidRPr="001221C2">
        <w:rPr>
          <w:sz w:val="22"/>
          <w:szCs w:val="22"/>
          <w:lang w:val="fr-FR"/>
        </w:rPr>
        <w:t>Présenter les rapports qui peuvent être demandés par la Conférence, le Comité consultatif, l’Assemblée générale, le Conseil permanent de l’OEA ou ses commissions permanentes, dans le cadre de ses attributions de secrétariat technique et administratif</w:t>
      </w:r>
      <w:r w:rsidR="00D01525" w:rsidRPr="001221C2">
        <w:rPr>
          <w:sz w:val="22"/>
          <w:szCs w:val="22"/>
          <w:lang w:val="fr-FR"/>
        </w:rPr>
        <w:t> </w:t>
      </w:r>
      <w:r w:rsidRPr="001221C2">
        <w:rPr>
          <w:sz w:val="22"/>
          <w:szCs w:val="22"/>
          <w:lang w:val="fr-FR"/>
        </w:rPr>
        <w:t>;</w:t>
      </w:r>
    </w:p>
    <w:p w14:paraId="2BDBC1E2" w14:textId="77777777" w:rsidR="0077774B" w:rsidRPr="001221C2" w:rsidRDefault="0077774B" w:rsidP="00D01525">
      <w:pPr>
        <w:tabs>
          <w:tab w:val="left" w:pos="-720"/>
        </w:tabs>
        <w:jc w:val="both"/>
        <w:rPr>
          <w:spacing w:val="-2"/>
          <w:sz w:val="22"/>
          <w:szCs w:val="22"/>
          <w:lang w:val="fr-FR"/>
        </w:rPr>
      </w:pPr>
    </w:p>
    <w:p w14:paraId="28A9BD0A" w14:textId="77777777" w:rsidR="0077774B" w:rsidRPr="001221C2" w:rsidRDefault="0077774B" w:rsidP="0077774B">
      <w:pPr>
        <w:widowControl/>
        <w:numPr>
          <w:ilvl w:val="0"/>
          <w:numId w:val="28"/>
        </w:numPr>
        <w:tabs>
          <w:tab w:val="left" w:pos="-720"/>
        </w:tabs>
        <w:autoSpaceDE/>
        <w:autoSpaceDN/>
        <w:adjustRightInd/>
        <w:ind w:left="1440" w:hanging="720"/>
        <w:jc w:val="both"/>
        <w:rPr>
          <w:spacing w:val="-2"/>
          <w:sz w:val="22"/>
          <w:szCs w:val="22"/>
          <w:lang w:val="fr-FR"/>
        </w:rPr>
      </w:pPr>
      <w:r w:rsidRPr="001221C2">
        <w:rPr>
          <w:sz w:val="22"/>
          <w:szCs w:val="22"/>
          <w:lang w:val="fr-FR"/>
        </w:rPr>
        <w:t>Réaliser toutes autres activités liées à la Convention, conformément aux résolutions adoptées par les États parties.</w:t>
      </w:r>
    </w:p>
    <w:p w14:paraId="12C5FC7B" w14:textId="77777777" w:rsidR="0077774B" w:rsidRPr="001221C2" w:rsidRDefault="0077774B" w:rsidP="0077774B">
      <w:pPr>
        <w:tabs>
          <w:tab w:val="left" w:pos="-720"/>
        </w:tabs>
        <w:jc w:val="both"/>
        <w:rPr>
          <w:sz w:val="22"/>
          <w:szCs w:val="22"/>
          <w:lang w:val="fr-FR"/>
        </w:rPr>
      </w:pPr>
    </w:p>
    <w:p w14:paraId="5073B7F9" w14:textId="77777777" w:rsidR="0077774B" w:rsidRPr="001221C2" w:rsidRDefault="0077774B" w:rsidP="0077774B">
      <w:pPr>
        <w:tabs>
          <w:tab w:val="left" w:pos="-720"/>
        </w:tabs>
        <w:jc w:val="both"/>
        <w:rPr>
          <w:b/>
          <w:sz w:val="22"/>
          <w:szCs w:val="22"/>
          <w:lang w:val="fr-FR"/>
        </w:rPr>
      </w:pPr>
      <w:r w:rsidRPr="001221C2">
        <w:rPr>
          <w:b/>
          <w:sz w:val="22"/>
          <w:szCs w:val="22"/>
          <w:lang w:val="fr-FR"/>
        </w:rPr>
        <w:t>Article 26</w:t>
      </w:r>
    </w:p>
    <w:p w14:paraId="0265BBA1" w14:textId="77777777" w:rsidR="0077774B" w:rsidRPr="001221C2" w:rsidRDefault="0077774B" w:rsidP="0077774B">
      <w:pPr>
        <w:tabs>
          <w:tab w:val="left" w:pos="-720"/>
        </w:tabs>
        <w:jc w:val="both"/>
        <w:rPr>
          <w:sz w:val="22"/>
          <w:szCs w:val="22"/>
          <w:lang w:val="fr-FR"/>
        </w:rPr>
      </w:pPr>
    </w:p>
    <w:p w14:paraId="13DBBFBF" w14:textId="77777777" w:rsidR="0077774B" w:rsidRPr="001221C2" w:rsidRDefault="0077774B" w:rsidP="00D01525">
      <w:pPr>
        <w:tabs>
          <w:tab w:val="left" w:pos="-720"/>
        </w:tabs>
        <w:ind w:firstLine="720"/>
        <w:jc w:val="both"/>
        <w:rPr>
          <w:w w:val="103"/>
          <w:sz w:val="22"/>
          <w:szCs w:val="22"/>
          <w:lang w:val="fr-FR"/>
        </w:rPr>
      </w:pPr>
      <w:r w:rsidRPr="001221C2">
        <w:rPr>
          <w:sz w:val="22"/>
          <w:szCs w:val="22"/>
          <w:lang w:val="fr-FR"/>
        </w:rPr>
        <w:t xml:space="preserve">Le Secrétariat exerce les attributions énoncées à l’article précédent en fonction de la disponibilité des ressources humaines et financières et prend des mesures pour obtenir des ressources internes et externes afin de financer ces activités. </w:t>
      </w:r>
    </w:p>
    <w:p w14:paraId="7057B4F7" w14:textId="77777777" w:rsidR="0077774B" w:rsidRPr="001221C2" w:rsidRDefault="0077774B" w:rsidP="0077774B">
      <w:pPr>
        <w:tabs>
          <w:tab w:val="left" w:pos="-720"/>
        </w:tabs>
        <w:jc w:val="both"/>
        <w:rPr>
          <w:w w:val="103"/>
          <w:sz w:val="22"/>
          <w:szCs w:val="22"/>
          <w:lang w:val="fr-FR"/>
        </w:rPr>
      </w:pPr>
    </w:p>
    <w:p w14:paraId="6FC64982" w14:textId="77777777" w:rsidR="0077774B" w:rsidRPr="001221C2" w:rsidRDefault="0077774B" w:rsidP="0077774B">
      <w:pPr>
        <w:tabs>
          <w:tab w:val="left" w:pos="-720"/>
        </w:tabs>
        <w:jc w:val="both"/>
        <w:rPr>
          <w:w w:val="103"/>
          <w:sz w:val="22"/>
          <w:szCs w:val="22"/>
          <w:lang w:val="fr-FR"/>
        </w:rPr>
      </w:pPr>
    </w:p>
    <w:p w14:paraId="24FF0214" w14:textId="77777777" w:rsidR="0077774B" w:rsidRPr="001221C2" w:rsidRDefault="0077774B" w:rsidP="0077774B">
      <w:pPr>
        <w:tabs>
          <w:tab w:val="left" w:pos="-720"/>
        </w:tabs>
        <w:jc w:val="center"/>
        <w:rPr>
          <w:sz w:val="22"/>
          <w:szCs w:val="22"/>
          <w:lang w:val="fr-FR"/>
        </w:rPr>
      </w:pPr>
      <w:r w:rsidRPr="001221C2">
        <w:rPr>
          <w:sz w:val="22"/>
          <w:szCs w:val="22"/>
          <w:lang w:val="fr-FR"/>
        </w:rPr>
        <w:t>CHAPITRE VII</w:t>
      </w:r>
    </w:p>
    <w:p w14:paraId="65FF8ADC" w14:textId="77777777" w:rsidR="0077774B" w:rsidRPr="001221C2" w:rsidRDefault="0077774B" w:rsidP="0077774B">
      <w:pPr>
        <w:pStyle w:val="BodyTextIndent"/>
        <w:widowControl/>
        <w:jc w:val="center"/>
        <w:rPr>
          <w:sz w:val="22"/>
          <w:szCs w:val="22"/>
          <w:lang w:val="fr-FR"/>
        </w:rPr>
      </w:pPr>
      <w:r w:rsidRPr="001221C2">
        <w:rPr>
          <w:sz w:val="22"/>
          <w:szCs w:val="22"/>
          <w:lang w:val="fr-FR"/>
        </w:rPr>
        <w:t>RÈGLEMENT</w:t>
      </w:r>
    </w:p>
    <w:p w14:paraId="177F12B6" w14:textId="77777777" w:rsidR="0077774B" w:rsidRPr="001221C2" w:rsidRDefault="0077774B" w:rsidP="0077774B">
      <w:pPr>
        <w:tabs>
          <w:tab w:val="left" w:pos="-720"/>
        </w:tabs>
        <w:jc w:val="both"/>
        <w:rPr>
          <w:sz w:val="22"/>
          <w:szCs w:val="22"/>
          <w:lang w:val="fr-FR"/>
        </w:rPr>
      </w:pPr>
    </w:p>
    <w:p w14:paraId="00FD7C1B" w14:textId="77777777" w:rsidR="0077774B" w:rsidRPr="001221C2" w:rsidRDefault="0077774B" w:rsidP="0077774B">
      <w:pPr>
        <w:pStyle w:val="BodyTextIndent"/>
        <w:widowControl/>
        <w:rPr>
          <w:b/>
          <w:bCs/>
          <w:sz w:val="22"/>
          <w:szCs w:val="22"/>
          <w:lang w:val="fr-FR"/>
        </w:rPr>
      </w:pPr>
      <w:r w:rsidRPr="001221C2">
        <w:rPr>
          <w:b/>
          <w:sz w:val="22"/>
          <w:szCs w:val="22"/>
          <w:lang w:val="fr-FR"/>
        </w:rPr>
        <w:t>Article 27</w:t>
      </w:r>
    </w:p>
    <w:p w14:paraId="178EBCD3" w14:textId="77777777" w:rsidR="0077774B" w:rsidRPr="001221C2" w:rsidRDefault="0077774B" w:rsidP="0077774B">
      <w:pPr>
        <w:tabs>
          <w:tab w:val="left" w:pos="-720"/>
        </w:tabs>
        <w:jc w:val="both"/>
        <w:rPr>
          <w:b/>
          <w:bCs/>
          <w:sz w:val="22"/>
          <w:szCs w:val="22"/>
          <w:lang w:val="fr-FR"/>
        </w:rPr>
      </w:pPr>
    </w:p>
    <w:p w14:paraId="59EEBA27" w14:textId="77777777" w:rsidR="0077774B" w:rsidRPr="001221C2" w:rsidRDefault="0077774B" w:rsidP="00D01525">
      <w:pPr>
        <w:tabs>
          <w:tab w:val="left" w:pos="-720"/>
        </w:tabs>
        <w:ind w:firstLine="720"/>
        <w:jc w:val="both"/>
        <w:rPr>
          <w:sz w:val="22"/>
          <w:szCs w:val="22"/>
          <w:lang w:val="fr-FR"/>
        </w:rPr>
      </w:pPr>
      <w:r w:rsidRPr="001221C2">
        <w:rPr>
          <w:sz w:val="22"/>
          <w:szCs w:val="22"/>
          <w:lang w:val="fr-FR"/>
        </w:rPr>
        <w:t>Le Règlement est adopté par la deuxième Conférence et entre en vigueur à la date de son adoption.</w:t>
      </w:r>
    </w:p>
    <w:p w14:paraId="366844CB" w14:textId="77777777" w:rsidR="0077774B" w:rsidRPr="001221C2" w:rsidRDefault="0077774B" w:rsidP="0077774B">
      <w:pPr>
        <w:tabs>
          <w:tab w:val="left" w:pos="-720"/>
        </w:tabs>
        <w:jc w:val="both"/>
        <w:rPr>
          <w:sz w:val="22"/>
          <w:szCs w:val="22"/>
          <w:lang w:val="fr-FR"/>
        </w:rPr>
      </w:pPr>
    </w:p>
    <w:p w14:paraId="59240100" w14:textId="77777777" w:rsidR="0077774B" w:rsidRPr="001221C2" w:rsidRDefault="0077774B" w:rsidP="0077774B">
      <w:pPr>
        <w:pStyle w:val="BodyTextIndent"/>
        <w:widowControl/>
        <w:rPr>
          <w:b/>
          <w:bCs/>
          <w:sz w:val="22"/>
          <w:szCs w:val="22"/>
          <w:lang w:val="fr-FR"/>
        </w:rPr>
      </w:pPr>
      <w:r w:rsidRPr="001221C2">
        <w:rPr>
          <w:b/>
          <w:sz w:val="22"/>
          <w:szCs w:val="22"/>
          <w:lang w:val="fr-FR"/>
        </w:rPr>
        <w:t>Article 28</w:t>
      </w:r>
    </w:p>
    <w:p w14:paraId="5547545C" w14:textId="77777777" w:rsidR="0077774B" w:rsidRPr="001221C2" w:rsidRDefault="0077774B" w:rsidP="0077774B">
      <w:pPr>
        <w:tabs>
          <w:tab w:val="left" w:pos="-720"/>
        </w:tabs>
        <w:jc w:val="both"/>
        <w:rPr>
          <w:sz w:val="22"/>
          <w:szCs w:val="22"/>
          <w:lang w:val="fr-FR"/>
        </w:rPr>
      </w:pPr>
    </w:p>
    <w:p w14:paraId="5345CB11" w14:textId="25C5D74E" w:rsidR="00C807BC" w:rsidRPr="001221C2" w:rsidRDefault="009B7088" w:rsidP="001221C2">
      <w:pPr>
        <w:tabs>
          <w:tab w:val="left" w:pos="-720"/>
        </w:tabs>
        <w:ind w:firstLine="720"/>
        <w:jc w:val="both"/>
        <w:rPr>
          <w:sz w:val="22"/>
          <w:szCs w:val="22"/>
          <w:lang w:val="fr-FR"/>
        </w:rPr>
      </w:pPr>
      <w:r w:rsidRPr="001221C2">
        <w:rPr>
          <w:noProof/>
          <w:sz w:val="22"/>
          <w:szCs w:val="22"/>
          <w:lang w:val="fr-FR"/>
        </w:rPr>
        <mc:AlternateContent>
          <mc:Choice Requires="wps">
            <w:drawing>
              <wp:anchor distT="0" distB="0" distL="118745" distR="118745" simplePos="0" relativeHeight="251659264" behindDoc="0" locked="1" layoutInCell="1" allowOverlap="1" wp14:anchorId="31885B61" wp14:editId="2D268CC3">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726742D" w14:textId="085949D8" w:rsidR="0077774B" w:rsidRDefault="0077774B" w:rsidP="0077774B">
                            <w:pPr>
                              <w:rPr>
                                <w:sz w:val="18"/>
                              </w:rPr>
                            </w:pPr>
                            <w:r>
                              <w:rPr>
                                <w:sz w:val="18"/>
                              </w:rPr>
                              <w:fldChar w:fldCharType="begin"/>
                            </w:r>
                            <w:r>
                              <w:rPr>
                                <w:sz w:val="18"/>
                              </w:rPr>
                              <w:instrText xml:space="preserve"> FILENAME  \* MERGEFORMAT </w:instrText>
                            </w:r>
                            <w:r>
                              <w:rPr>
                                <w:sz w:val="18"/>
                              </w:rPr>
                              <w:fldChar w:fldCharType="separate"/>
                            </w:r>
                            <w:r w:rsidR="00395027">
                              <w:rPr>
                                <w:noProof/>
                                <w:sz w:val="18"/>
                              </w:rPr>
                              <w:t>DPASP00151F05</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1885B61"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stroke joinstyle="round"/>
                <v:textbox>
                  <w:txbxContent>
                    <w:p w14:paraId="5726742D" w14:textId="085949D8" w:rsidR="0077774B" w:rsidRDefault="0077774B" w:rsidP="0077774B">
                      <w:pPr>
                        <w:rPr>
                          <w:sz w:val="18"/>
                        </w:rPr>
                      </w:pPr>
                      <w:r>
                        <w:rPr>
                          <w:sz w:val="18"/>
                        </w:rPr>
                        <w:fldChar w:fldCharType="begin"/>
                      </w:r>
                      <w:r>
                        <w:rPr>
                          <w:sz w:val="18"/>
                        </w:rPr>
                        <w:instrText xml:space="preserve"> FILENAME  \* MERGEFORMAT </w:instrText>
                      </w:r>
                      <w:r>
                        <w:rPr>
                          <w:sz w:val="18"/>
                        </w:rPr>
                        <w:fldChar w:fldCharType="separate"/>
                      </w:r>
                      <w:r w:rsidR="00395027">
                        <w:rPr>
                          <w:noProof/>
                          <w:sz w:val="18"/>
                        </w:rPr>
                        <w:t>DPASP00151F05</w:t>
                      </w:r>
                      <w:r>
                        <w:rPr>
                          <w:sz w:val="18"/>
                        </w:rPr>
                        <w:fldChar w:fldCharType="end"/>
                      </w:r>
                    </w:p>
                  </w:txbxContent>
                </v:textbox>
                <w10:wrap anchory="page"/>
                <w10:anchorlock/>
              </v:shape>
            </w:pict>
          </mc:Fallback>
        </mc:AlternateContent>
      </w:r>
      <w:r w:rsidR="0077774B" w:rsidRPr="001221C2">
        <w:rPr>
          <w:sz w:val="22"/>
          <w:szCs w:val="22"/>
          <w:lang w:val="fr-FR"/>
        </w:rPr>
        <w:t>Le Règlement peut être modifié par la Conférence à la majorité qualifiée des deux tiers des États parties.</w:t>
      </w:r>
    </w:p>
    <w:sectPr w:rsidR="00C807BC" w:rsidRPr="001221C2" w:rsidSect="00D01525">
      <w:headerReference w:type="default" r:id="rId15"/>
      <w:headerReference w:type="first" r:id="rId16"/>
      <w:type w:val="oddPage"/>
      <w:pgSz w:w="12240" w:h="15840" w:code="1"/>
      <w:pgMar w:top="2160" w:right="1570" w:bottom="1296" w:left="1699" w:header="1296"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A058" w14:textId="77777777" w:rsidR="004D0E76" w:rsidRDefault="004D0E76">
      <w:r>
        <w:separator/>
      </w:r>
    </w:p>
  </w:endnote>
  <w:endnote w:type="continuationSeparator" w:id="0">
    <w:p w14:paraId="617DE35B" w14:textId="77777777" w:rsidR="004D0E76" w:rsidRDefault="004D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A5E7" w14:textId="77777777" w:rsidR="00DB7A30" w:rsidRDefault="00DB7A30">
    <w:pPr>
      <w:pStyle w:val="Footer"/>
      <w:widowControl/>
      <w:ind w:right="360"/>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AE4" w14:textId="77777777" w:rsidR="00DB7A30" w:rsidRDefault="00DB7A30">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DD38" w14:textId="77777777" w:rsidR="004D0E76" w:rsidRDefault="004D0E76">
      <w:r>
        <w:separator/>
      </w:r>
    </w:p>
  </w:footnote>
  <w:footnote w:type="continuationSeparator" w:id="0">
    <w:p w14:paraId="2F5FF524" w14:textId="77777777" w:rsidR="004D0E76" w:rsidRDefault="004D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A551" w14:textId="77777777" w:rsidR="00DB7A30" w:rsidRDefault="00DB7A30">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BB8F" w14:textId="77777777" w:rsidR="00DB7A30" w:rsidRDefault="00DB7A30">
    <w:pPr>
      <w:pStyle w:val="Heade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F4A0" w14:textId="74F579C3" w:rsidR="00D01525" w:rsidRPr="00D01525" w:rsidRDefault="00D01525">
    <w:pPr>
      <w:pStyle w:val="Header"/>
      <w:jc w:val="center"/>
      <w:rPr>
        <w:sz w:val="22"/>
        <w:szCs w:val="22"/>
      </w:rPr>
    </w:pPr>
    <w:r w:rsidRPr="00D01525">
      <w:rPr>
        <w:sz w:val="22"/>
        <w:szCs w:val="22"/>
      </w:rPr>
      <w:t xml:space="preserve">- </w:t>
    </w:r>
    <w:sdt>
      <w:sdtPr>
        <w:rPr>
          <w:sz w:val="22"/>
          <w:szCs w:val="22"/>
        </w:rPr>
        <w:id w:val="1195349900"/>
        <w:docPartObj>
          <w:docPartGallery w:val="Page Numbers (Top of Page)"/>
          <w:docPartUnique/>
        </w:docPartObj>
      </w:sdtPr>
      <w:sdtEndPr>
        <w:rPr>
          <w:noProof/>
        </w:rPr>
      </w:sdtEndPr>
      <w:sdtContent>
        <w:r w:rsidRPr="00D01525">
          <w:rPr>
            <w:sz w:val="22"/>
            <w:szCs w:val="22"/>
          </w:rPr>
          <w:fldChar w:fldCharType="begin"/>
        </w:r>
        <w:r w:rsidRPr="00D01525">
          <w:rPr>
            <w:sz w:val="22"/>
            <w:szCs w:val="22"/>
          </w:rPr>
          <w:instrText xml:space="preserve"> PAGE   \* MERGEFORMAT </w:instrText>
        </w:r>
        <w:r w:rsidRPr="00D01525">
          <w:rPr>
            <w:sz w:val="22"/>
            <w:szCs w:val="22"/>
          </w:rPr>
          <w:fldChar w:fldCharType="separate"/>
        </w:r>
        <w:r w:rsidRPr="00D01525">
          <w:rPr>
            <w:noProof/>
            <w:sz w:val="22"/>
            <w:szCs w:val="22"/>
          </w:rPr>
          <w:t>2</w:t>
        </w:r>
        <w:r w:rsidRPr="00D01525">
          <w:rPr>
            <w:noProof/>
            <w:sz w:val="22"/>
            <w:szCs w:val="22"/>
          </w:rPr>
          <w:fldChar w:fldCharType="end"/>
        </w:r>
        <w:r w:rsidRPr="00D01525">
          <w:rPr>
            <w:noProof/>
            <w:sz w:val="22"/>
            <w:szCs w:val="22"/>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673E" w14:textId="77777777" w:rsidR="00D01525" w:rsidRDefault="00D01525">
    <w:pPr>
      <w:pStyle w:val="Heade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E17"/>
    <w:multiLevelType w:val="singleLevel"/>
    <w:tmpl w:val="0E9824CE"/>
    <w:lvl w:ilvl="0">
      <w:start w:val="4"/>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 w15:restartNumberingAfterBreak="0">
    <w:nsid w:val="13363591"/>
    <w:multiLevelType w:val="singleLevel"/>
    <w:tmpl w:val="872AB57C"/>
    <w:lvl w:ilvl="0">
      <w:start w:val="3"/>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2" w15:restartNumberingAfterBreak="0">
    <w:nsid w:val="1A7B12A2"/>
    <w:multiLevelType w:val="singleLevel"/>
    <w:tmpl w:val="0E9824CE"/>
    <w:lvl w:ilvl="0">
      <w:start w:val="4"/>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3" w15:restartNumberingAfterBreak="0">
    <w:nsid w:val="1D090E94"/>
    <w:multiLevelType w:val="singleLevel"/>
    <w:tmpl w:val="D8C224B6"/>
    <w:lvl w:ilvl="0">
      <w:start w:val="5"/>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4" w15:restartNumberingAfterBreak="0">
    <w:nsid w:val="1EB67202"/>
    <w:multiLevelType w:val="hybridMultilevel"/>
    <w:tmpl w:val="BD90D6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CE7A6C"/>
    <w:multiLevelType w:val="singleLevel"/>
    <w:tmpl w:val="AC4A1BB8"/>
    <w:lvl w:ilvl="0">
      <w:start w:val="1"/>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6" w15:restartNumberingAfterBreak="0">
    <w:nsid w:val="31D564CB"/>
    <w:multiLevelType w:val="hybridMultilevel"/>
    <w:tmpl w:val="CBFAC6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462449"/>
    <w:multiLevelType w:val="singleLevel"/>
    <w:tmpl w:val="8976036C"/>
    <w:lvl w:ilvl="0">
      <w:start w:val="8"/>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8" w15:restartNumberingAfterBreak="0">
    <w:nsid w:val="4132584A"/>
    <w:multiLevelType w:val="hybridMultilevel"/>
    <w:tmpl w:val="78E8D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7764A"/>
    <w:multiLevelType w:val="singleLevel"/>
    <w:tmpl w:val="69C62EEA"/>
    <w:lvl w:ilvl="0">
      <w:start w:val="2"/>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0" w15:restartNumberingAfterBreak="0">
    <w:nsid w:val="52DC19DA"/>
    <w:multiLevelType w:val="singleLevel"/>
    <w:tmpl w:val="D27EBF88"/>
    <w:lvl w:ilvl="0">
      <w:start w:val="7"/>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1" w15:restartNumberingAfterBreak="0">
    <w:nsid w:val="535358CD"/>
    <w:multiLevelType w:val="hybridMultilevel"/>
    <w:tmpl w:val="CBFA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A285A"/>
    <w:multiLevelType w:val="singleLevel"/>
    <w:tmpl w:val="AC4A1BB8"/>
    <w:lvl w:ilvl="0">
      <w:start w:val="1"/>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3" w15:restartNumberingAfterBreak="0">
    <w:nsid w:val="616D581E"/>
    <w:multiLevelType w:val="singleLevel"/>
    <w:tmpl w:val="69C62EEA"/>
    <w:lvl w:ilvl="0">
      <w:start w:val="2"/>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4" w15:restartNumberingAfterBreak="0">
    <w:nsid w:val="6C5D7D3B"/>
    <w:multiLevelType w:val="singleLevel"/>
    <w:tmpl w:val="35821BC4"/>
    <w:lvl w:ilvl="0">
      <w:start w:val="6"/>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5" w15:restartNumberingAfterBreak="0">
    <w:nsid w:val="6F376995"/>
    <w:multiLevelType w:val="singleLevel"/>
    <w:tmpl w:val="D8C224B6"/>
    <w:lvl w:ilvl="0">
      <w:start w:val="5"/>
      <w:numFmt w:val="lowerLetter"/>
      <w:lvlText w:val="%1."/>
      <w:legacy w:legacy="1" w:legacySpace="120" w:legacyIndent="360"/>
      <w:lvlJc w:val="left"/>
      <w:pPr>
        <w:ind w:left="1080" w:hanging="360"/>
      </w:pPr>
      <w:rPr>
        <w:rFonts w:ascii="Times New Roman" w:hAnsi="Times New Roman" w:cs="Times New Roman" w:hint="default"/>
      </w:rPr>
    </w:lvl>
  </w:abstractNum>
  <w:abstractNum w:abstractNumId="16" w15:restartNumberingAfterBreak="0">
    <w:nsid w:val="71841CD0"/>
    <w:multiLevelType w:val="singleLevel"/>
    <w:tmpl w:val="35821BC4"/>
    <w:lvl w:ilvl="0">
      <w:start w:val="6"/>
      <w:numFmt w:val="lowerLetter"/>
      <w:lvlText w:val="%1."/>
      <w:legacy w:legacy="1" w:legacySpace="120" w:legacyIndent="360"/>
      <w:lvlJc w:val="left"/>
      <w:pPr>
        <w:ind w:left="1080" w:hanging="360"/>
      </w:pPr>
      <w:rPr>
        <w:rFonts w:ascii="Times New Roman" w:hAnsi="Times New Roman" w:cs="Times New Roman" w:hint="default"/>
      </w:rPr>
    </w:lvl>
  </w:abstractNum>
  <w:num w:numId="1" w16cid:durableId="1213037185">
    <w:abstractNumId w:val="5"/>
  </w:num>
  <w:num w:numId="2" w16cid:durableId="248933095">
    <w:abstractNumId w:val="13"/>
  </w:num>
  <w:num w:numId="3" w16cid:durableId="198863930">
    <w:abstractNumId w:val="1"/>
  </w:num>
  <w:num w:numId="4" w16cid:durableId="1581016967">
    <w:abstractNumId w:val="0"/>
  </w:num>
  <w:num w:numId="5" w16cid:durableId="18967643">
    <w:abstractNumId w:val="3"/>
  </w:num>
  <w:num w:numId="6" w16cid:durableId="1344941824">
    <w:abstractNumId w:val="16"/>
  </w:num>
  <w:num w:numId="7" w16cid:durableId="625354929">
    <w:abstractNumId w:val="10"/>
  </w:num>
  <w:num w:numId="8" w16cid:durableId="1508135060">
    <w:abstractNumId w:val="7"/>
  </w:num>
  <w:num w:numId="9" w16cid:durableId="1596863842">
    <w:abstractNumId w:val="12"/>
  </w:num>
  <w:num w:numId="10" w16cid:durableId="960770010">
    <w:abstractNumId w:val="9"/>
  </w:num>
  <w:num w:numId="11" w16cid:durableId="1555196034">
    <w:abstractNumId w:val="9"/>
    <w:lvlOverride w:ilvl="0">
      <w:lvl w:ilvl="0">
        <w:start w:val="3"/>
        <w:numFmt w:val="lowerLetter"/>
        <w:lvlText w:val="%1."/>
        <w:legacy w:legacy="1" w:legacySpace="120" w:legacyIndent="360"/>
        <w:lvlJc w:val="left"/>
        <w:pPr>
          <w:ind w:left="1080" w:hanging="360"/>
        </w:pPr>
        <w:rPr>
          <w:rFonts w:ascii="Times New Roman" w:hAnsi="Times New Roman" w:cs="Times New Roman" w:hint="default"/>
        </w:rPr>
      </w:lvl>
    </w:lvlOverride>
  </w:num>
  <w:num w:numId="12" w16cid:durableId="441148495">
    <w:abstractNumId w:val="2"/>
  </w:num>
  <w:num w:numId="13" w16cid:durableId="1354845382">
    <w:abstractNumId w:val="15"/>
  </w:num>
  <w:num w:numId="14" w16cid:durableId="112795001">
    <w:abstractNumId w:val="14"/>
  </w:num>
  <w:num w:numId="15" w16cid:durableId="839737779">
    <w:abstractNumId w:val="8"/>
  </w:num>
  <w:num w:numId="16" w16cid:durableId="346175667">
    <w:abstractNumId w:val="11"/>
  </w:num>
  <w:num w:numId="17" w16cid:durableId="755126724">
    <w:abstractNumId w:val="4"/>
  </w:num>
  <w:num w:numId="18" w16cid:durableId="112947332">
    <w:abstractNumId w:val="5"/>
    <w:lvlOverride w:ilvl="0">
      <w:startOverride w:val="1"/>
    </w:lvlOverride>
  </w:num>
  <w:num w:numId="19" w16cid:durableId="827667891">
    <w:abstractNumId w:val="13"/>
    <w:lvlOverride w:ilvl="0">
      <w:startOverride w:val="2"/>
    </w:lvlOverride>
  </w:num>
  <w:num w:numId="20" w16cid:durableId="953824589">
    <w:abstractNumId w:val="1"/>
    <w:lvlOverride w:ilvl="0">
      <w:startOverride w:val="3"/>
    </w:lvlOverride>
  </w:num>
  <w:num w:numId="21" w16cid:durableId="671183260">
    <w:abstractNumId w:val="0"/>
    <w:lvlOverride w:ilvl="0">
      <w:startOverride w:val="4"/>
    </w:lvlOverride>
  </w:num>
  <w:num w:numId="22" w16cid:durableId="1718429722">
    <w:abstractNumId w:val="12"/>
    <w:lvlOverride w:ilvl="0">
      <w:startOverride w:val="1"/>
    </w:lvlOverride>
  </w:num>
  <w:num w:numId="23" w16cid:durableId="147870265">
    <w:abstractNumId w:val="9"/>
    <w:lvlOverride w:ilvl="0">
      <w:startOverride w:val="2"/>
    </w:lvlOverride>
  </w:num>
  <w:num w:numId="24" w16cid:durableId="2048990458">
    <w:abstractNumId w:val="2"/>
    <w:lvlOverride w:ilvl="0">
      <w:startOverride w:val="4"/>
    </w:lvlOverride>
  </w:num>
  <w:num w:numId="25" w16cid:durableId="147289873">
    <w:abstractNumId w:val="15"/>
    <w:lvlOverride w:ilvl="0">
      <w:startOverride w:val="5"/>
    </w:lvlOverride>
  </w:num>
  <w:num w:numId="26" w16cid:durableId="1197936257">
    <w:abstractNumId w:val="14"/>
    <w:lvlOverride w:ilvl="0">
      <w:startOverride w:val="6"/>
    </w:lvlOverride>
  </w:num>
  <w:num w:numId="27" w16cid:durableId="14794181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06587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699"/>
  <w:drawingGridVerticalOrigin w:val="2160"/>
  <w:characterSpacingControl w:val="compressPunctuation"/>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wMDI1MzCwNDQAAiUdpeDU4uLM/DyQAsNaAOwSDo0sAAAA"/>
  </w:docVars>
  <w:rsids>
    <w:rsidRoot w:val="0047688C"/>
    <w:rsid w:val="00010A96"/>
    <w:rsid w:val="000268D8"/>
    <w:rsid w:val="000308CA"/>
    <w:rsid w:val="000321BF"/>
    <w:rsid w:val="00077F2A"/>
    <w:rsid w:val="000A3B9D"/>
    <w:rsid w:val="000B10F0"/>
    <w:rsid w:val="000F60F2"/>
    <w:rsid w:val="00101D51"/>
    <w:rsid w:val="001053DB"/>
    <w:rsid w:val="001221C2"/>
    <w:rsid w:val="00131256"/>
    <w:rsid w:val="0013638B"/>
    <w:rsid w:val="00141CDC"/>
    <w:rsid w:val="00151756"/>
    <w:rsid w:val="00161C6C"/>
    <w:rsid w:val="00170E2D"/>
    <w:rsid w:val="00177FAF"/>
    <w:rsid w:val="0018259D"/>
    <w:rsid w:val="001A0973"/>
    <w:rsid w:val="001B494E"/>
    <w:rsid w:val="001C4336"/>
    <w:rsid w:val="00255BFC"/>
    <w:rsid w:val="002716A3"/>
    <w:rsid w:val="0027214B"/>
    <w:rsid w:val="00285BD8"/>
    <w:rsid w:val="00297214"/>
    <w:rsid w:val="002E5CB7"/>
    <w:rsid w:val="002E694B"/>
    <w:rsid w:val="0032113F"/>
    <w:rsid w:val="00337F07"/>
    <w:rsid w:val="0034183C"/>
    <w:rsid w:val="00381B6C"/>
    <w:rsid w:val="00395027"/>
    <w:rsid w:val="003A3EB2"/>
    <w:rsid w:val="00410111"/>
    <w:rsid w:val="00415528"/>
    <w:rsid w:val="00436111"/>
    <w:rsid w:val="004521EC"/>
    <w:rsid w:val="00472319"/>
    <w:rsid w:val="0047688C"/>
    <w:rsid w:val="004A1B99"/>
    <w:rsid w:val="004B5CE5"/>
    <w:rsid w:val="004D0E76"/>
    <w:rsid w:val="004D3DE2"/>
    <w:rsid w:val="004D530F"/>
    <w:rsid w:val="004E7489"/>
    <w:rsid w:val="00523F46"/>
    <w:rsid w:val="005370A9"/>
    <w:rsid w:val="00545335"/>
    <w:rsid w:val="00567440"/>
    <w:rsid w:val="005706FC"/>
    <w:rsid w:val="00571A4F"/>
    <w:rsid w:val="0057761F"/>
    <w:rsid w:val="005821AA"/>
    <w:rsid w:val="005A178B"/>
    <w:rsid w:val="005A4CC9"/>
    <w:rsid w:val="005B6681"/>
    <w:rsid w:val="005C46ED"/>
    <w:rsid w:val="005C6CC6"/>
    <w:rsid w:val="005D4354"/>
    <w:rsid w:val="005D5112"/>
    <w:rsid w:val="005E49C7"/>
    <w:rsid w:val="005F7137"/>
    <w:rsid w:val="0061755A"/>
    <w:rsid w:val="00622791"/>
    <w:rsid w:val="00624A97"/>
    <w:rsid w:val="006254F7"/>
    <w:rsid w:val="00627F6D"/>
    <w:rsid w:val="0063669D"/>
    <w:rsid w:val="0063715A"/>
    <w:rsid w:val="00647D58"/>
    <w:rsid w:val="006515F8"/>
    <w:rsid w:val="00675CFC"/>
    <w:rsid w:val="00677A15"/>
    <w:rsid w:val="00681951"/>
    <w:rsid w:val="006934D9"/>
    <w:rsid w:val="006B447F"/>
    <w:rsid w:val="006B74CC"/>
    <w:rsid w:val="006D063E"/>
    <w:rsid w:val="006E33D3"/>
    <w:rsid w:val="006F2D69"/>
    <w:rsid w:val="00713895"/>
    <w:rsid w:val="007437BF"/>
    <w:rsid w:val="007768FB"/>
    <w:rsid w:val="0077774B"/>
    <w:rsid w:val="007928CF"/>
    <w:rsid w:val="007B7FD7"/>
    <w:rsid w:val="007C42CC"/>
    <w:rsid w:val="007C5022"/>
    <w:rsid w:val="007D5A17"/>
    <w:rsid w:val="00826CEE"/>
    <w:rsid w:val="008545B8"/>
    <w:rsid w:val="00854ED3"/>
    <w:rsid w:val="00877089"/>
    <w:rsid w:val="00880074"/>
    <w:rsid w:val="0089279B"/>
    <w:rsid w:val="008A3B23"/>
    <w:rsid w:val="008A625D"/>
    <w:rsid w:val="008B3746"/>
    <w:rsid w:val="008C1E56"/>
    <w:rsid w:val="008C3DE7"/>
    <w:rsid w:val="008C6887"/>
    <w:rsid w:val="008D7371"/>
    <w:rsid w:val="009036B5"/>
    <w:rsid w:val="00903BD2"/>
    <w:rsid w:val="00943C9B"/>
    <w:rsid w:val="00947A08"/>
    <w:rsid w:val="00971078"/>
    <w:rsid w:val="009753D9"/>
    <w:rsid w:val="00982476"/>
    <w:rsid w:val="009B7088"/>
    <w:rsid w:val="009B765C"/>
    <w:rsid w:val="009C388F"/>
    <w:rsid w:val="009C437C"/>
    <w:rsid w:val="009D04E5"/>
    <w:rsid w:val="00A011AB"/>
    <w:rsid w:val="00A0174E"/>
    <w:rsid w:val="00A17F65"/>
    <w:rsid w:val="00A20151"/>
    <w:rsid w:val="00A32E9B"/>
    <w:rsid w:val="00A34BDA"/>
    <w:rsid w:val="00A44E30"/>
    <w:rsid w:val="00A46A0A"/>
    <w:rsid w:val="00A62A17"/>
    <w:rsid w:val="00A64FBB"/>
    <w:rsid w:val="00A6555A"/>
    <w:rsid w:val="00A705EB"/>
    <w:rsid w:val="00A711BF"/>
    <w:rsid w:val="00A7363D"/>
    <w:rsid w:val="00A77552"/>
    <w:rsid w:val="00AA5970"/>
    <w:rsid w:val="00AE3C81"/>
    <w:rsid w:val="00B13A9C"/>
    <w:rsid w:val="00B15390"/>
    <w:rsid w:val="00B16BE2"/>
    <w:rsid w:val="00B32CBB"/>
    <w:rsid w:val="00B54165"/>
    <w:rsid w:val="00B65B8E"/>
    <w:rsid w:val="00B7436F"/>
    <w:rsid w:val="00B749A7"/>
    <w:rsid w:val="00B77488"/>
    <w:rsid w:val="00B77C2D"/>
    <w:rsid w:val="00B838D4"/>
    <w:rsid w:val="00BC1983"/>
    <w:rsid w:val="00BD0B3B"/>
    <w:rsid w:val="00BD50CA"/>
    <w:rsid w:val="00BF18B9"/>
    <w:rsid w:val="00BF71A7"/>
    <w:rsid w:val="00C2268B"/>
    <w:rsid w:val="00C238F5"/>
    <w:rsid w:val="00C30D90"/>
    <w:rsid w:val="00C338FA"/>
    <w:rsid w:val="00C37333"/>
    <w:rsid w:val="00C426DB"/>
    <w:rsid w:val="00C527ED"/>
    <w:rsid w:val="00C53C5C"/>
    <w:rsid w:val="00C62A34"/>
    <w:rsid w:val="00C71786"/>
    <w:rsid w:val="00C7288C"/>
    <w:rsid w:val="00C807BC"/>
    <w:rsid w:val="00C81626"/>
    <w:rsid w:val="00C90507"/>
    <w:rsid w:val="00C9282B"/>
    <w:rsid w:val="00CA18EA"/>
    <w:rsid w:val="00CA18EE"/>
    <w:rsid w:val="00CB0306"/>
    <w:rsid w:val="00CF1E45"/>
    <w:rsid w:val="00CF3E56"/>
    <w:rsid w:val="00D01174"/>
    <w:rsid w:val="00D01525"/>
    <w:rsid w:val="00D80756"/>
    <w:rsid w:val="00DB7A30"/>
    <w:rsid w:val="00DD49E7"/>
    <w:rsid w:val="00DD7D4B"/>
    <w:rsid w:val="00DF1EBD"/>
    <w:rsid w:val="00DF1F27"/>
    <w:rsid w:val="00E41551"/>
    <w:rsid w:val="00E42A3E"/>
    <w:rsid w:val="00E54180"/>
    <w:rsid w:val="00E94267"/>
    <w:rsid w:val="00E950A4"/>
    <w:rsid w:val="00EB72BF"/>
    <w:rsid w:val="00EE387D"/>
    <w:rsid w:val="00F275B5"/>
    <w:rsid w:val="00F350F7"/>
    <w:rsid w:val="00F420E0"/>
    <w:rsid w:val="00F56085"/>
    <w:rsid w:val="00F7377A"/>
    <w:rsid w:val="00F74B4B"/>
    <w:rsid w:val="00F8286D"/>
    <w:rsid w:val="00F91945"/>
    <w:rsid w:val="00F91AF5"/>
    <w:rsid w:val="00F93E65"/>
    <w:rsid w:val="00FB2D0E"/>
    <w:rsid w:val="00FB3647"/>
    <w:rsid w:val="00FC49AA"/>
    <w:rsid w:val="00FC507E"/>
    <w:rsid w:val="00FF21BA"/>
    <w:rsid w:val="00FF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3EE68504"/>
  <w15:chartTrackingRefBased/>
  <w15:docId w15:val="{19AAEBBA-E42D-4BAB-B62E-1B2A4E46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s-CO"/>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bCs/>
    </w:rPr>
  </w:style>
  <w:style w:type="paragraph" w:styleId="BodyTextIndent">
    <w:name w:val="Body Text Indent"/>
    <w:basedOn w:val="Normal"/>
    <w:link w:val="BodyTextIndentChar"/>
    <w:pPr>
      <w:jc w:val="both"/>
    </w:pPr>
  </w:style>
  <w:style w:type="paragraph" w:styleId="Footer">
    <w:name w:val="footer"/>
    <w:basedOn w:val="Normal"/>
    <w:link w:val="FooterChar"/>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link w:val="BodyText2Char"/>
    <w:rsid w:val="00C7288C"/>
    <w:pPr>
      <w:spacing w:after="120" w:line="480" w:lineRule="auto"/>
    </w:pPr>
  </w:style>
  <w:style w:type="paragraph" w:styleId="ListParagraph">
    <w:name w:val="List Paragraph"/>
    <w:basedOn w:val="Normal"/>
    <w:uiPriority w:val="34"/>
    <w:qFormat/>
    <w:rsid w:val="008A625D"/>
    <w:pPr>
      <w:ind w:left="720"/>
    </w:pPr>
  </w:style>
  <w:style w:type="paragraph" w:customStyle="1" w:styleId="Default">
    <w:name w:val="Default"/>
    <w:rsid w:val="00943C9B"/>
    <w:pPr>
      <w:autoSpaceDE w:val="0"/>
      <w:autoSpaceDN w:val="0"/>
      <w:adjustRightInd w:val="0"/>
    </w:pPr>
    <w:rPr>
      <w:color w:val="000000"/>
      <w:sz w:val="24"/>
      <w:szCs w:val="24"/>
      <w:lang w:val="es-MX" w:eastAsia="es-MX"/>
    </w:rPr>
  </w:style>
  <w:style w:type="character" w:styleId="EndnoteReference">
    <w:name w:val="endnote reference"/>
    <w:rsid w:val="009D04E5"/>
    <w:rPr>
      <w:vertAlign w:val="superscript"/>
    </w:rPr>
  </w:style>
  <w:style w:type="paragraph" w:styleId="Revision">
    <w:name w:val="Revision"/>
    <w:hidden/>
    <w:uiPriority w:val="99"/>
    <w:semiHidden/>
    <w:rsid w:val="006934D9"/>
    <w:rPr>
      <w:sz w:val="24"/>
      <w:szCs w:val="24"/>
      <w:lang w:val="es-CO"/>
    </w:rPr>
  </w:style>
  <w:style w:type="character" w:customStyle="1" w:styleId="HeaderChar">
    <w:name w:val="Header Char"/>
    <w:link w:val="Header"/>
    <w:uiPriority w:val="99"/>
    <w:rsid w:val="005B6681"/>
    <w:rPr>
      <w:sz w:val="24"/>
      <w:szCs w:val="24"/>
      <w:lang w:val="es-CO"/>
    </w:rPr>
  </w:style>
  <w:style w:type="character" w:customStyle="1" w:styleId="BodyTextChar">
    <w:name w:val="Body Text Char"/>
    <w:link w:val="BodyText"/>
    <w:rsid w:val="0077774B"/>
    <w:rPr>
      <w:b/>
      <w:bCs/>
      <w:sz w:val="24"/>
      <w:szCs w:val="24"/>
      <w:lang w:val="es-CO"/>
    </w:rPr>
  </w:style>
  <w:style w:type="character" w:customStyle="1" w:styleId="BodyTextIndentChar">
    <w:name w:val="Body Text Indent Char"/>
    <w:link w:val="BodyTextIndent"/>
    <w:rsid w:val="0077774B"/>
    <w:rPr>
      <w:sz w:val="24"/>
      <w:szCs w:val="24"/>
      <w:lang w:val="es-CO"/>
    </w:rPr>
  </w:style>
  <w:style w:type="character" w:customStyle="1" w:styleId="BodyText2Char">
    <w:name w:val="Body Text 2 Char"/>
    <w:link w:val="BodyText2"/>
    <w:rsid w:val="0077774B"/>
    <w:rPr>
      <w:sz w:val="24"/>
      <w:szCs w:val="24"/>
      <w:lang w:val="es-CO"/>
    </w:rPr>
  </w:style>
  <w:style w:type="character" w:customStyle="1" w:styleId="FooterChar">
    <w:name w:val="Footer Char"/>
    <w:link w:val="Footer"/>
    <w:rsid w:val="0077774B"/>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5921">
      <w:bodyDiv w:val="1"/>
      <w:marLeft w:val="0"/>
      <w:marRight w:val="0"/>
      <w:marTop w:val="0"/>
      <w:marBottom w:val="0"/>
      <w:divBdr>
        <w:top w:val="none" w:sz="0" w:space="0" w:color="auto"/>
        <w:left w:val="none" w:sz="0" w:space="0" w:color="auto"/>
        <w:bottom w:val="none" w:sz="0" w:space="0" w:color="auto"/>
        <w:right w:val="none" w:sz="0" w:space="0" w:color="auto"/>
      </w:divBdr>
    </w:div>
    <w:div w:id="624435392">
      <w:bodyDiv w:val="1"/>
      <w:marLeft w:val="0"/>
      <w:marRight w:val="0"/>
      <w:marTop w:val="0"/>
      <w:marBottom w:val="0"/>
      <w:divBdr>
        <w:top w:val="none" w:sz="0" w:space="0" w:color="auto"/>
        <w:left w:val="none" w:sz="0" w:space="0" w:color="auto"/>
        <w:bottom w:val="none" w:sz="0" w:space="0" w:color="auto"/>
        <w:right w:val="none" w:sz="0" w:space="0" w:color="auto"/>
      </w:divBdr>
    </w:div>
    <w:div w:id="763040683">
      <w:bodyDiv w:val="1"/>
      <w:marLeft w:val="0"/>
      <w:marRight w:val="0"/>
      <w:marTop w:val="0"/>
      <w:marBottom w:val="0"/>
      <w:divBdr>
        <w:top w:val="none" w:sz="0" w:space="0" w:color="auto"/>
        <w:left w:val="none" w:sz="0" w:space="0" w:color="auto"/>
        <w:bottom w:val="none" w:sz="0" w:space="0" w:color="auto"/>
        <w:right w:val="none" w:sz="0" w:space="0" w:color="auto"/>
      </w:divBdr>
    </w:div>
    <w:div w:id="852690341">
      <w:bodyDiv w:val="1"/>
      <w:marLeft w:val="0"/>
      <w:marRight w:val="0"/>
      <w:marTop w:val="0"/>
      <w:marBottom w:val="0"/>
      <w:divBdr>
        <w:top w:val="none" w:sz="0" w:space="0" w:color="auto"/>
        <w:left w:val="none" w:sz="0" w:space="0" w:color="auto"/>
        <w:bottom w:val="none" w:sz="0" w:space="0" w:color="auto"/>
        <w:right w:val="none" w:sz="0" w:space="0" w:color="auto"/>
      </w:divBdr>
    </w:div>
    <w:div w:id="1465390095">
      <w:bodyDiv w:val="1"/>
      <w:marLeft w:val="0"/>
      <w:marRight w:val="0"/>
      <w:marTop w:val="0"/>
      <w:marBottom w:val="0"/>
      <w:divBdr>
        <w:top w:val="none" w:sz="0" w:space="0" w:color="auto"/>
        <w:left w:val="none" w:sz="0" w:space="0" w:color="auto"/>
        <w:bottom w:val="none" w:sz="0" w:space="0" w:color="auto"/>
        <w:right w:val="none" w:sz="0" w:space="0" w:color="auto"/>
      </w:divBdr>
    </w:div>
    <w:div w:id="15611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0d1605-260b-47fd-804b-8c27edd2405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A4F217CB57A14084E98EFFAD3C7D62" ma:contentTypeVersion="13" ma:contentTypeDescription="Create a new document." ma:contentTypeScope="" ma:versionID="126ad7bb14d80183512cac346430aea6">
  <xsd:schema xmlns:xsd="http://www.w3.org/2001/XMLSchema" xmlns:xs="http://www.w3.org/2001/XMLSchema" xmlns:p="http://schemas.microsoft.com/office/2006/metadata/properties" xmlns:ns2="8b0d1605-260b-47fd-804b-8c27edd2405b" xmlns:ns3="730f74aa-8393-4aa5-b2f8-3c7aae566a68" targetNamespace="http://schemas.microsoft.com/office/2006/metadata/properties" ma:root="true" ma:fieldsID="633102269903bb9e93c1f5352fbcc284" ns2:_="" ns3:_="">
    <xsd:import namespace="8b0d1605-260b-47fd-804b-8c27edd2405b"/>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1605-260b-47fd-804b-8c27edd2405b"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42CE0-7A60-4064-863C-E51BF83DEB5D}">
  <ds:schemaRefs>
    <ds:schemaRef ds:uri="http://schemas.microsoft.com/office/2006/metadata/properties"/>
    <ds:schemaRef ds:uri="http://schemas.microsoft.com/office/infopath/2007/PartnerControls"/>
    <ds:schemaRef ds:uri="8b0d1605-260b-47fd-804b-8c27edd2405b"/>
  </ds:schemaRefs>
</ds:datastoreItem>
</file>

<file path=customXml/itemProps2.xml><?xml version="1.0" encoding="utf-8"?>
<ds:datastoreItem xmlns:ds="http://schemas.openxmlformats.org/officeDocument/2006/customXml" ds:itemID="{FDB85A79-D2DA-40B0-A524-E7C32EE7E3BF}">
  <ds:schemaRefs>
    <ds:schemaRef ds:uri="http://schemas.openxmlformats.org/officeDocument/2006/bibliography"/>
  </ds:schemaRefs>
</ds:datastoreItem>
</file>

<file path=customXml/itemProps3.xml><?xml version="1.0" encoding="utf-8"?>
<ds:datastoreItem xmlns:ds="http://schemas.openxmlformats.org/officeDocument/2006/customXml" ds:itemID="{FBC908D9-92FF-4149-BF6F-03772C4DBDA2}">
  <ds:schemaRefs>
    <ds:schemaRef ds:uri="http://schemas.microsoft.com/sharepoint/v3/contenttype/forms"/>
  </ds:schemaRefs>
</ds:datastoreItem>
</file>

<file path=customXml/itemProps4.xml><?xml version="1.0" encoding="utf-8"?>
<ds:datastoreItem xmlns:ds="http://schemas.openxmlformats.org/officeDocument/2006/customXml" ds:itemID="{E559AA1B-4168-44CD-A733-A4EF16705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1605-260b-47fd-804b-8c27edd2405b"/>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2518</Words>
  <Characters>14357</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REGLAMENTO INTERNO DE LA CONFERENCIA DE ESTADOS PARTES ESTABLECIDA EN EL MARCO DE LA CONVENCIÓN INTERAMERICANA CONTRA LA FABRI</vt:lpstr>
      <vt:lpstr>REGLAMENTO INTERNO DE LA CONFERENCIA DE ESTADOS PARTES ESTABLECIDA EN EL MARCO DE LA CONVENCIÓN INTERAMERICANA CONTRA LA FABRI</vt:lpstr>
    </vt:vector>
  </TitlesOfParts>
  <Company>OAS</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LA CONFERENCIA DE ESTADOS PARTES ESTABLECIDA EN EL MARCO DE LA CONVENCIÓN INTERAMERICANA CONTRA LA FABRI</dc:title>
  <dc:subject/>
  <dc:creator>Secretaría Técnica Cooperación Jurídica, OEA</dc:creator>
  <cp:keywords/>
  <cp:lastModifiedBy>Lobaton, Ursula</cp:lastModifiedBy>
  <cp:revision>6</cp:revision>
  <cp:lastPrinted>2004-03-08T16:14:00Z</cp:lastPrinted>
  <dcterms:created xsi:type="dcterms:W3CDTF">2022-04-21T14:33:00Z</dcterms:created>
  <dcterms:modified xsi:type="dcterms:W3CDTF">2022-04-22T21:03:00Z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